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CF50" w14:textId="6944A6F2" w:rsidR="0018715F" w:rsidRDefault="00500D4D" w:rsidP="002733C2">
      <w:pPr>
        <w:pStyle w:val="Sous-titre"/>
        <w:spacing w:before="240" w:after="120" w:line="360" w:lineRule="auto"/>
      </w:pPr>
      <w:r>
        <w:rPr>
          <w:noProof/>
          <w:lang w:val="fr-FR" w:eastAsia="fr-FR"/>
        </w:rPr>
        <w:drawing>
          <wp:inline distT="0" distB="0" distL="0" distR="0" wp14:anchorId="7798F3D0" wp14:editId="05E0C8EE">
            <wp:extent cx="6431915" cy="84671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9"/>
                    <a:stretch/>
                  </pic:blipFill>
                  <pic:spPr bwMode="auto">
                    <a:xfrm>
                      <a:off x="0" y="0"/>
                      <a:ext cx="6431915" cy="846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57559" w14:textId="76323B87" w:rsidR="0018715F" w:rsidRDefault="0018715F" w:rsidP="0018715F">
      <w:pPr>
        <w:ind w:firstLine="227"/>
        <w:rPr>
          <w:lang w:val="en-US"/>
        </w:rPr>
      </w:pPr>
      <w:r>
        <w:rPr>
          <w:lang w:val="en-US"/>
        </w:rPr>
        <w:t>Fig. 1 Indicator identification, development and use as a chain of processes.</w:t>
      </w:r>
      <w:bookmarkStart w:id="0" w:name="_GoBack"/>
      <w:bookmarkEnd w:id="0"/>
    </w:p>
    <w:p w14:paraId="5C98C211" w14:textId="7F8486EB" w:rsidR="0018715F" w:rsidRDefault="0018715F" w:rsidP="0018715F">
      <w:pPr>
        <w:rPr>
          <w:lang w:val="en-US"/>
        </w:rPr>
      </w:pPr>
    </w:p>
    <w:p w14:paraId="1A38DDC9" w14:textId="77777777" w:rsidR="00841C42" w:rsidRPr="0018715F" w:rsidRDefault="00841C42" w:rsidP="0018715F">
      <w:pPr>
        <w:rPr>
          <w:lang w:val="en-US"/>
        </w:rPr>
        <w:sectPr w:rsidR="00841C42" w:rsidRPr="0018715F" w:rsidSect="00841C42">
          <w:footerReference w:type="default" r:id="rId9"/>
          <w:pgSz w:w="11906" w:h="16838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14:paraId="2796D960" w14:textId="3FEF8C71" w:rsidR="002733C2" w:rsidRPr="00596CAD" w:rsidRDefault="002733C2" w:rsidP="002733C2">
      <w:pPr>
        <w:pStyle w:val="Sous-titre"/>
        <w:spacing w:before="240" w:after="120" w:line="360" w:lineRule="auto"/>
        <w:rPr>
          <w:sz w:val="22"/>
        </w:rPr>
      </w:pPr>
      <w:r w:rsidRPr="00596CAD">
        <w:rPr>
          <w:b/>
          <w:sz w:val="22"/>
        </w:rPr>
        <w:lastRenderedPageBreak/>
        <w:t xml:space="preserve">Table 1. </w:t>
      </w:r>
      <w:r w:rsidRPr="00596CAD">
        <w:rPr>
          <w:sz w:val="22"/>
        </w:rPr>
        <w:t>Criteria and potential indicators to assess water management options.</w:t>
      </w:r>
      <w:r w:rsidRPr="00596CAD">
        <w:rPr>
          <w:b/>
          <w:sz w:val="22"/>
        </w:rPr>
        <w:t xml:space="preserve"> </w:t>
      </w:r>
      <w:r w:rsidRPr="00596CAD">
        <w:rPr>
          <w:sz w:val="22"/>
        </w:rPr>
        <w:t xml:space="preserve">Because an indicator can inform multiple criteria, the total number of indicator profiles </w:t>
      </w:r>
      <w:r w:rsidR="0016697E" w:rsidRPr="00596CAD">
        <w:rPr>
          <w:sz w:val="22"/>
        </w:rPr>
        <w:t xml:space="preserve">among </w:t>
      </w:r>
      <w:r w:rsidRPr="00596CAD">
        <w:rPr>
          <w:sz w:val="22"/>
        </w:rPr>
        <w:t xml:space="preserve">criteria exceeds 146 (total number of indicator profiles). Numbers in parentheses indicate the number of proto-indicators that could </w:t>
      </w:r>
      <w:r w:rsidR="00AE1640" w:rsidRPr="00596CAD">
        <w:rPr>
          <w:sz w:val="22"/>
        </w:rPr>
        <w:t xml:space="preserve">not </w:t>
      </w:r>
      <w:r w:rsidRPr="00596CAD">
        <w:rPr>
          <w:sz w:val="22"/>
        </w:rPr>
        <w:t>be further formalized.</w:t>
      </w:r>
    </w:p>
    <w:tbl>
      <w:tblPr>
        <w:tblStyle w:val="Tableausimple41"/>
        <w:tblW w:w="14850" w:type="dxa"/>
        <w:tblLayout w:type="fixed"/>
        <w:tblLook w:val="04A0" w:firstRow="1" w:lastRow="0" w:firstColumn="1" w:lastColumn="0" w:noHBand="0" w:noVBand="1"/>
      </w:tblPr>
      <w:tblGrid>
        <w:gridCol w:w="6"/>
        <w:gridCol w:w="2167"/>
        <w:gridCol w:w="5590"/>
        <w:gridCol w:w="36"/>
        <w:gridCol w:w="814"/>
        <w:gridCol w:w="31"/>
        <w:gridCol w:w="6206"/>
      </w:tblGrid>
      <w:tr w:rsidR="0016697E" w:rsidRPr="00596CAD" w14:paraId="454D6DA7" w14:textId="7CF75B7C" w:rsidTr="002E1BA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182A35" w14:textId="79429D4D" w:rsidR="0016697E" w:rsidRPr="00596CAD" w:rsidRDefault="0016697E" w:rsidP="00757B45">
            <w:pPr>
              <w:spacing w:line="360" w:lineRule="auto"/>
              <w:jc w:val="left"/>
              <w:rPr>
                <w:rFonts w:eastAsia="Calibri" w:cs="Times New Roman"/>
                <w:b w:val="0"/>
                <w:bCs w:val="0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Criteria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7D9590" w14:textId="4EBAB4FA" w:rsidR="0016697E" w:rsidRPr="00596CAD" w:rsidRDefault="0016697E" w:rsidP="00757B45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Indicator profiles</w:t>
            </w:r>
          </w:p>
        </w:tc>
      </w:tr>
      <w:tr w:rsidR="00AB54F3" w:rsidRPr="00596CAD" w14:paraId="54C25930" w14:textId="77777777" w:rsidTr="00596CA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6A26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Name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8FC68" w14:textId="77777777" w:rsidR="002733C2" w:rsidRPr="00596CAD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lang w:val="en-US"/>
              </w:rPr>
            </w:pPr>
            <w:r w:rsidRPr="00596CAD">
              <w:rPr>
                <w:rFonts w:eastAsia="Calibri" w:cs="Times New Roman"/>
                <w:b/>
                <w:lang w:val="en-US"/>
              </w:rPr>
              <w:t>Content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225D" w14:textId="24BFBF3F" w:rsidR="002733C2" w:rsidRPr="00715C38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lang w:val="en-US"/>
              </w:rPr>
            </w:pPr>
            <w:r w:rsidRPr="00715C38">
              <w:rPr>
                <w:rFonts w:eastAsia="Calibri" w:cs="Times New Roman"/>
                <w:b/>
                <w:lang w:val="en-US"/>
              </w:rPr>
              <w:t>No.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AF192" w14:textId="77777777" w:rsidR="002733C2" w:rsidRPr="00596CAD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lang w:val="en-US"/>
              </w:rPr>
            </w:pPr>
            <w:r w:rsidRPr="00596CAD">
              <w:rPr>
                <w:rFonts w:eastAsia="Calibri" w:cs="Times New Roman"/>
                <w:b/>
                <w:lang w:val="en-US"/>
              </w:rPr>
              <w:t>Names of selected examples</w:t>
            </w:r>
          </w:p>
        </w:tc>
      </w:tr>
      <w:tr w:rsidR="00056C03" w:rsidRPr="00064154" w14:paraId="76B66AF8" w14:textId="77777777" w:rsidTr="002E1BA7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E45689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Safety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9EDAA0" w14:textId="4B2D961E" w:rsidR="002733C2" w:rsidRPr="00715C38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 xml:space="preserve">Damage caused by water; </w:t>
            </w:r>
            <w:r w:rsidRPr="00715C38">
              <w:rPr>
                <w:rFonts w:eastAsia="Calibri" w:cs="Times New Roman"/>
                <w:lang w:val="en-US"/>
              </w:rPr>
              <w:t>Public health and drink</w:t>
            </w:r>
            <w:r w:rsidR="00B21614" w:rsidRPr="00715C38">
              <w:rPr>
                <w:rFonts w:eastAsia="Calibri" w:cs="Times New Roman"/>
                <w:lang w:val="en-US"/>
              </w:rPr>
              <w:t>ing</w:t>
            </w:r>
            <w:r w:rsidRPr="00715C38">
              <w:rPr>
                <w:rFonts w:eastAsia="Calibri" w:cs="Times New Roman"/>
                <w:lang w:val="en-US"/>
              </w:rPr>
              <w:t xml:space="preserve"> water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361BB1" w14:textId="77777777" w:rsidR="002733C2" w:rsidRPr="00715C38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9 (2)</w:t>
            </w:r>
          </w:p>
        </w:tc>
        <w:tc>
          <w:tcPr>
            <w:tcW w:w="6206" w:type="dxa"/>
            <w:tcBorders>
              <w:top w:val="single" w:sz="4" w:space="0" w:color="auto"/>
            </w:tcBorders>
            <w:shd w:val="clear" w:color="auto" w:fill="auto"/>
          </w:tcPr>
          <w:p w14:paraId="00D140FA" w14:textId="52A2CD0F" w:rsidR="002733C2" w:rsidRPr="00596CAD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Number of days under critical low flow; Runoff coefficient of upstream areas</w:t>
            </w:r>
          </w:p>
        </w:tc>
      </w:tr>
      <w:tr w:rsidR="00056C03" w:rsidRPr="00064154" w14:paraId="0D5B8263" w14:textId="77777777" w:rsidTr="002E1BA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auto"/>
            <w:hideMark/>
          </w:tcPr>
          <w:p w14:paraId="4F32961E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Food security</w:t>
            </w:r>
          </w:p>
        </w:tc>
        <w:tc>
          <w:tcPr>
            <w:tcW w:w="5590" w:type="dxa"/>
            <w:shd w:val="clear" w:color="auto" w:fill="auto"/>
            <w:hideMark/>
          </w:tcPr>
          <w:p w14:paraId="76D34D1F" w14:textId="2EE4EA25" w:rsidR="002733C2" w:rsidRPr="00715C38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 xml:space="preserve">Quantity of food products; </w:t>
            </w:r>
            <w:r w:rsidRPr="00715C38">
              <w:rPr>
                <w:rFonts w:eastAsia="Calibri" w:cs="Times New Roman"/>
                <w:lang w:val="en-US"/>
              </w:rPr>
              <w:t>Healthiness of food products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23428657" w14:textId="77777777" w:rsidR="002733C2" w:rsidRPr="00715C38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4</w:t>
            </w:r>
          </w:p>
        </w:tc>
        <w:tc>
          <w:tcPr>
            <w:tcW w:w="6206" w:type="dxa"/>
            <w:shd w:val="clear" w:color="auto" w:fill="auto"/>
          </w:tcPr>
          <w:p w14:paraId="4A28769F" w14:textId="34741E66" w:rsidR="002733C2" w:rsidRPr="00596CAD" w:rsidRDefault="002733C2" w:rsidP="0016697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 xml:space="preserve">Nutritional </w:t>
            </w:r>
            <w:r w:rsidR="0016697E" w:rsidRPr="00596CAD">
              <w:rPr>
                <w:rFonts w:eastAsia="Calibri" w:cs="Times New Roman"/>
                <w:lang w:val="en-US"/>
              </w:rPr>
              <w:t xml:space="preserve">content </w:t>
            </w:r>
            <w:r w:rsidRPr="00596CAD">
              <w:rPr>
                <w:rFonts w:eastAsia="Calibri" w:cs="Times New Roman"/>
                <w:lang w:val="en-US"/>
              </w:rPr>
              <w:t xml:space="preserve">of food production; Energy </w:t>
            </w:r>
            <w:r w:rsidR="0016697E" w:rsidRPr="00596CAD">
              <w:rPr>
                <w:rFonts w:eastAsia="Calibri" w:cs="Times New Roman"/>
                <w:lang w:val="en-US"/>
              </w:rPr>
              <w:t xml:space="preserve">content </w:t>
            </w:r>
            <w:r w:rsidRPr="00596CAD">
              <w:rPr>
                <w:rFonts w:eastAsia="Calibri" w:cs="Times New Roman"/>
                <w:lang w:val="en-US"/>
              </w:rPr>
              <w:t>of food production</w:t>
            </w:r>
          </w:p>
        </w:tc>
      </w:tr>
      <w:tr w:rsidR="00056C03" w:rsidRPr="00064154" w14:paraId="773A7749" w14:textId="77777777" w:rsidTr="002E1BA7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auto"/>
            <w:hideMark/>
          </w:tcPr>
          <w:p w14:paraId="0AA5D487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Local identity</w:t>
            </w:r>
          </w:p>
        </w:tc>
        <w:tc>
          <w:tcPr>
            <w:tcW w:w="5590" w:type="dxa"/>
            <w:shd w:val="clear" w:color="auto" w:fill="auto"/>
            <w:hideMark/>
          </w:tcPr>
          <w:p w14:paraId="504ABCAB" w14:textId="1EF760D7" w:rsidR="002733C2" w:rsidRPr="00715C38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 xml:space="preserve">Protecting agricultural identity and local expertise; </w:t>
            </w:r>
            <w:r w:rsidRPr="00715C38">
              <w:rPr>
                <w:rFonts w:eastAsia="Calibri" w:cs="Times New Roman"/>
                <w:lang w:val="en-US"/>
              </w:rPr>
              <w:t>Landscape diversity (non-specialization)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5E34C309" w14:textId="77777777" w:rsidR="002733C2" w:rsidRPr="00715C38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20 (1)</w:t>
            </w:r>
          </w:p>
        </w:tc>
        <w:tc>
          <w:tcPr>
            <w:tcW w:w="6206" w:type="dxa"/>
            <w:shd w:val="clear" w:color="auto" w:fill="auto"/>
          </w:tcPr>
          <w:p w14:paraId="292B2516" w14:textId="080EFBB4" w:rsidR="002733C2" w:rsidRPr="00596CAD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 xml:space="preserve">Agricultural land cover diversity; Proportion of farms and production </w:t>
            </w:r>
            <w:r w:rsidR="0048248A" w:rsidRPr="00596CAD">
              <w:rPr>
                <w:rFonts w:eastAsia="Calibri" w:cs="Times New Roman"/>
                <w:lang w:val="en-US"/>
              </w:rPr>
              <w:t xml:space="preserve">types </w:t>
            </w:r>
            <w:r w:rsidRPr="00596CAD">
              <w:rPr>
                <w:rFonts w:eastAsia="Calibri" w:cs="Times New Roman"/>
                <w:lang w:val="en-US"/>
              </w:rPr>
              <w:t>with a quality label</w:t>
            </w:r>
          </w:p>
        </w:tc>
      </w:tr>
      <w:tr w:rsidR="00056C03" w:rsidRPr="00064154" w14:paraId="15692A29" w14:textId="77777777" w:rsidTr="002E1BA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auto"/>
            <w:hideMark/>
          </w:tcPr>
          <w:p w14:paraId="18FF1180" w14:textId="0E4D9F72" w:rsidR="002733C2" w:rsidRPr="009A1DF8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Wealth and employment</w:t>
            </w:r>
          </w:p>
        </w:tc>
        <w:tc>
          <w:tcPr>
            <w:tcW w:w="5590" w:type="dxa"/>
            <w:shd w:val="clear" w:color="auto" w:fill="auto"/>
            <w:hideMark/>
          </w:tcPr>
          <w:p w14:paraId="4EBD6123" w14:textId="386539CF" w:rsidR="002733C2" w:rsidRPr="00715C38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Agricultural sector; Tourism; Hydropower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52444CC9" w14:textId="77777777" w:rsidR="002733C2" w:rsidRPr="00715C38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14 (1)</w:t>
            </w:r>
          </w:p>
        </w:tc>
        <w:tc>
          <w:tcPr>
            <w:tcW w:w="6206" w:type="dxa"/>
            <w:shd w:val="clear" w:color="auto" w:fill="auto"/>
          </w:tcPr>
          <w:p w14:paraId="2142A964" w14:textId="2C22FA0A" w:rsidR="002733C2" w:rsidRPr="00596CAD" w:rsidRDefault="002733C2" w:rsidP="0091786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 xml:space="preserve">Cumulative </w:t>
            </w:r>
            <w:r w:rsidR="0091786E" w:rsidRPr="00596CAD">
              <w:rPr>
                <w:rFonts w:eastAsia="Calibri" w:cs="Times New Roman"/>
                <w:lang w:val="en-US"/>
              </w:rPr>
              <w:t xml:space="preserve">revenue </w:t>
            </w:r>
            <w:r w:rsidRPr="00596CAD">
              <w:rPr>
                <w:rFonts w:eastAsia="Calibri" w:cs="Times New Roman"/>
                <w:lang w:val="en-US"/>
              </w:rPr>
              <w:t xml:space="preserve">of all farms in the area; </w:t>
            </w:r>
            <w:r w:rsidR="0048248A" w:rsidRPr="00596CAD">
              <w:rPr>
                <w:rFonts w:eastAsia="Calibri" w:cs="Times New Roman"/>
                <w:lang w:val="en-US"/>
              </w:rPr>
              <w:t>D</w:t>
            </w:r>
            <w:r w:rsidRPr="00596CAD">
              <w:rPr>
                <w:rFonts w:eastAsia="Calibri" w:cs="Times New Roman"/>
                <w:lang w:val="en-US"/>
              </w:rPr>
              <w:t xml:space="preserve">iversity of potential recreational water activities; </w:t>
            </w:r>
            <w:r w:rsidR="0048248A" w:rsidRPr="00596CAD">
              <w:rPr>
                <w:rFonts w:eastAsia="Calibri" w:cs="Times New Roman"/>
                <w:lang w:val="en-US"/>
              </w:rPr>
              <w:t>H</w:t>
            </w:r>
            <w:r w:rsidRPr="00596CAD">
              <w:rPr>
                <w:rFonts w:eastAsia="Calibri" w:cs="Times New Roman"/>
                <w:lang w:val="en-US"/>
              </w:rPr>
              <w:t>ydropower production from existing plants</w:t>
            </w:r>
          </w:p>
        </w:tc>
      </w:tr>
      <w:tr w:rsidR="00056C03" w:rsidRPr="00064154" w14:paraId="66C7FC0D" w14:textId="77777777" w:rsidTr="002E1BA7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auto"/>
            <w:hideMark/>
          </w:tcPr>
          <w:p w14:paraId="7E832FA5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Biodiversity</w:t>
            </w:r>
          </w:p>
        </w:tc>
        <w:tc>
          <w:tcPr>
            <w:tcW w:w="5590" w:type="dxa"/>
            <w:shd w:val="clear" w:color="auto" w:fill="auto"/>
            <w:hideMark/>
          </w:tcPr>
          <w:p w14:paraId="09C7DB75" w14:textId="77777777" w:rsidR="002733C2" w:rsidRPr="00596CAD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Aquatic and terrestrial biodiversity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533ADD69" w14:textId="77777777" w:rsidR="002733C2" w:rsidRPr="00715C38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14</w:t>
            </w:r>
          </w:p>
        </w:tc>
        <w:tc>
          <w:tcPr>
            <w:tcW w:w="6206" w:type="dxa"/>
            <w:shd w:val="clear" w:color="auto" w:fill="auto"/>
          </w:tcPr>
          <w:p w14:paraId="144CF10B" w14:textId="5CDDDA34" w:rsidR="002733C2" w:rsidRPr="00596CAD" w:rsidRDefault="002733C2" w:rsidP="0048248A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 xml:space="preserve">Pollution from plant protection practices; </w:t>
            </w:r>
            <w:r w:rsidR="0048248A" w:rsidRPr="00596CAD">
              <w:rPr>
                <w:rFonts w:eastAsia="Calibri" w:cs="Times New Roman"/>
                <w:lang w:val="en-US"/>
              </w:rPr>
              <w:t>V</w:t>
            </w:r>
            <w:r w:rsidRPr="00596CAD">
              <w:rPr>
                <w:rFonts w:eastAsia="Calibri" w:cs="Times New Roman"/>
                <w:lang w:val="en-US"/>
              </w:rPr>
              <w:t xml:space="preserve">ariation in minimum average flow for 10 consecutive days; </w:t>
            </w:r>
            <w:r w:rsidR="0048248A" w:rsidRPr="00596CAD">
              <w:rPr>
                <w:rFonts w:eastAsia="Calibri" w:cs="Times New Roman"/>
                <w:lang w:val="en-US"/>
              </w:rPr>
              <w:t xml:space="preserve">Heterogeneity in </w:t>
            </w:r>
            <w:r w:rsidRPr="00596CAD">
              <w:rPr>
                <w:rFonts w:eastAsia="Calibri" w:cs="Times New Roman"/>
                <w:lang w:val="en-US"/>
              </w:rPr>
              <w:t>landscape composition and configuration</w:t>
            </w:r>
          </w:p>
        </w:tc>
      </w:tr>
      <w:tr w:rsidR="00056C03" w:rsidRPr="00064154" w14:paraId="0797F630" w14:textId="77777777" w:rsidTr="00AB54F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auto"/>
            <w:hideMark/>
          </w:tcPr>
          <w:p w14:paraId="211D5C63" w14:textId="77777777" w:rsidR="002733C2" w:rsidRPr="00715C38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Long-term adaptability of water-use activities</w:t>
            </w:r>
          </w:p>
        </w:tc>
        <w:tc>
          <w:tcPr>
            <w:tcW w:w="5590" w:type="dxa"/>
            <w:shd w:val="clear" w:color="auto" w:fill="auto"/>
            <w:hideMark/>
          </w:tcPr>
          <w:p w14:paraId="4FD470C1" w14:textId="1E678E92" w:rsidR="002733C2" w:rsidRPr="00596CAD" w:rsidRDefault="002733C2" w:rsidP="00715C38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Vulnerability to socio-economic shocks; Vulnerability to changes in water availability; Develop</w:t>
            </w:r>
            <w:r w:rsidR="00715C38">
              <w:rPr>
                <w:rFonts w:eastAsia="Calibri" w:cs="Times New Roman"/>
                <w:lang w:val="en-US"/>
              </w:rPr>
              <w:t>ment</w:t>
            </w:r>
            <w:r w:rsidRPr="00715C38">
              <w:rPr>
                <w:rFonts w:eastAsia="Calibri" w:cs="Times New Roman"/>
                <w:lang w:val="en-US"/>
              </w:rPr>
              <w:t xml:space="preserve"> capacities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23F67415" w14:textId="77777777" w:rsidR="002733C2" w:rsidRPr="00596CAD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27(3)</w:t>
            </w:r>
          </w:p>
        </w:tc>
        <w:tc>
          <w:tcPr>
            <w:tcW w:w="6206" w:type="dxa"/>
            <w:shd w:val="clear" w:color="auto" w:fill="auto"/>
          </w:tcPr>
          <w:p w14:paraId="40D0068C" w14:textId="6129C2F7" w:rsidR="002733C2" w:rsidRPr="00596CAD" w:rsidRDefault="002733C2" w:rsidP="00C91D6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 xml:space="preserve">Crop yields under climate change; </w:t>
            </w:r>
            <w:r w:rsidR="0048248A" w:rsidRPr="00715C38">
              <w:rPr>
                <w:rFonts w:eastAsia="Calibri" w:cs="Times New Roman"/>
                <w:lang w:val="en-US"/>
              </w:rPr>
              <w:t>A</w:t>
            </w:r>
            <w:r w:rsidRPr="00715C38">
              <w:rPr>
                <w:rFonts w:eastAsia="Calibri" w:cs="Times New Roman"/>
                <w:lang w:val="en-US"/>
              </w:rPr>
              <w:t xml:space="preserve">vailable water stock at the end of each irrigation </w:t>
            </w:r>
            <w:r w:rsidR="00C91D6B" w:rsidRPr="00715C38">
              <w:rPr>
                <w:rFonts w:eastAsia="Calibri" w:cs="Times New Roman"/>
                <w:lang w:val="en-US"/>
              </w:rPr>
              <w:t>season</w:t>
            </w:r>
            <w:r w:rsidRPr="00715C38">
              <w:rPr>
                <w:rFonts w:eastAsia="Calibri" w:cs="Times New Roman"/>
                <w:lang w:val="en-US"/>
              </w:rPr>
              <w:t xml:space="preserve">; </w:t>
            </w:r>
            <w:r w:rsidR="0048248A" w:rsidRPr="00596CAD">
              <w:rPr>
                <w:rFonts w:eastAsia="Calibri" w:cs="Times New Roman"/>
                <w:lang w:val="en-US"/>
              </w:rPr>
              <w:t>D</w:t>
            </w:r>
            <w:r w:rsidRPr="00596CAD">
              <w:rPr>
                <w:rFonts w:eastAsia="Calibri" w:cs="Times New Roman"/>
                <w:lang w:val="en-US"/>
              </w:rPr>
              <w:t>iversity of agricultural production</w:t>
            </w:r>
          </w:p>
        </w:tc>
      </w:tr>
      <w:tr w:rsidR="00056C03" w:rsidRPr="00064154" w14:paraId="15064359" w14:textId="77777777" w:rsidTr="00715C38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auto"/>
            <w:hideMark/>
          </w:tcPr>
          <w:p w14:paraId="6BCC544B" w14:textId="52EA975A" w:rsidR="002733C2" w:rsidRPr="00596CAD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Adjustment potential</w:t>
            </w:r>
          </w:p>
        </w:tc>
        <w:tc>
          <w:tcPr>
            <w:tcW w:w="5626" w:type="dxa"/>
            <w:gridSpan w:val="2"/>
            <w:shd w:val="clear" w:color="auto" w:fill="auto"/>
            <w:hideMark/>
          </w:tcPr>
          <w:p w14:paraId="18CABEAE" w14:textId="78323555" w:rsidR="002733C2" w:rsidRPr="00715C38" w:rsidRDefault="002733C2" w:rsidP="0016697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Leeway for water managers and users to adapt water supply to demand (and vice-versa) throughout the year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3501CF3C" w14:textId="77777777" w:rsidR="002733C2" w:rsidRPr="00715C38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9</w:t>
            </w:r>
          </w:p>
        </w:tc>
        <w:tc>
          <w:tcPr>
            <w:tcW w:w="6206" w:type="dxa"/>
            <w:shd w:val="clear" w:color="auto" w:fill="auto"/>
          </w:tcPr>
          <w:p w14:paraId="21780937" w14:textId="2B0FE967" w:rsidR="002733C2" w:rsidRPr="00596CAD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 xml:space="preserve">Impact </w:t>
            </w:r>
            <w:r w:rsidRPr="00596CAD">
              <w:rPr>
                <w:rFonts w:eastAsia="Calibri" w:cs="Times New Roman"/>
                <w:lang w:val="en-US"/>
              </w:rPr>
              <w:t>of water-use restrictions on agricultural production; Temporal distribution of water needs</w:t>
            </w:r>
          </w:p>
        </w:tc>
      </w:tr>
      <w:tr w:rsidR="00056C03" w:rsidRPr="00064154" w14:paraId="7E67843C" w14:textId="77777777" w:rsidTr="002E1BA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auto"/>
            <w:hideMark/>
          </w:tcPr>
          <w:p w14:paraId="2C5261EF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Maintaining natural capital</w:t>
            </w:r>
          </w:p>
        </w:tc>
        <w:tc>
          <w:tcPr>
            <w:tcW w:w="5590" w:type="dxa"/>
            <w:shd w:val="clear" w:color="auto" w:fill="auto"/>
            <w:hideMark/>
          </w:tcPr>
          <w:p w14:paraId="2F8C96C3" w14:textId="05D53EC0" w:rsidR="002733C2" w:rsidRPr="00715C38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Natural functioning of hydrological system;</w:t>
            </w:r>
            <w:r w:rsidRPr="009A1DF8">
              <w:rPr>
                <w:rFonts w:eastAsia="Calibri" w:cs="Times New Roman"/>
                <w:lang w:val="en-US"/>
              </w:rPr>
              <w:t xml:space="preserve"> </w:t>
            </w:r>
            <w:r w:rsidRPr="00715C38">
              <w:rPr>
                <w:rFonts w:eastAsia="Calibri" w:cs="Times New Roman"/>
                <w:lang w:val="en-US"/>
              </w:rPr>
              <w:t>Natural functioning of soils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3F808AAF" w14:textId="77777777" w:rsidR="002733C2" w:rsidRPr="00715C38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18 (3)</w:t>
            </w:r>
          </w:p>
        </w:tc>
        <w:tc>
          <w:tcPr>
            <w:tcW w:w="6206" w:type="dxa"/>
            <w:shd w:val="clear" w:color="auto" w:fill="auto"/>
          </w:tcPr>
          <w:p w14:paraId="41553F3B" w14:textId="6D72B25C" w:rsidR="002733C2" w:rsidRPr="00596CAD" w:rsidRDefault="002733C2" w:rsidP="0048248A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 xml:space="preserve">Number of days with bare </w:t>
            </w:r>
            <w:r w:rsidR="0048248A" w:rsidRPr="00715C38">
              <w:rPr>
                <w:rFonts w:eastAsia="Calibri" w:cs="Times New Roman"/>
                <w:lang w:val="en-US"/>
              </w:rPr>
              <w:t>soil</w:t>
            </w:r>
            <w:r w:rsidRPr="00715C38">
              <w:rPr>
                <w:rFonts w:eastAsia="Calibri" w:cs="Times New Roman"/>
                <w:lang w:val="en-US"/>
              </w:rPr>
              <w:t xml:space="preserve">; </w:t>
            </w:r>
            <w:r w:rsidR="0048248A" w:rsidRPr="00715C38">
              <w:rPr>
                <w:rFonts w:eastAsia="Calibri" w:cs="Times New Roman"/>
                <w:lang w:val="en-US"/>
              </w:rPr>
              <w:t>Renewal</w:t>
            </w:r>
            <w:r w:rsidRPr="00715C38">
              <w:rPr>
                <w:rFonts w:eastAsia="Calibri" w:cs="Times New Roman"/>
                <w:lang w:val="en-US"/>
              </w:rPr>
              <w:t xml:space="preserve"> rate of underground water stock; </w:t>
            </w:r>
            <w:r w:rsidR="0048248A" w:rsidRPr="00715C38">
              <w:rPr>
                <w:rFonts w:eastAsia="Calibri" w:cs="Times New Roman"/>
                <w:lang w:val="en-US"/>
              </w:rPr>
              <w:t>Volume</w:t>
            </w:r>
            <w:r w:rsidRPr="00596CAD">
              <w:rPr>
                <w:rFonts w:eastAsia="Calibri" w:cs="Times New Roman"/>
                <w:lang w:val="en-US"/>
              </w:rPr>
              <w:t xml:space="preserve"> of rainwater returned to the environment</w:t>
            </w:r>
          </w:p>
        </w:tc>
      </w:tr>
      <w:tr w:rsidR="00056C03" w:rsidRPr="00064154" w14:paraId="1971A1E7" w14:textId="77777777" w:rsidTr="002E1BA7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auto"/>
            <w:hideMark/>
          </w:tcPr>
          <w:p w14:paraId="6448EEC6" w14:textId="004F151F" w:rsidR="002733C2" w:rsidRPr="00596CAD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lastRenderedPageBreak/>
              <w:t>Equity among water users</w:t>
            </w:r>
          </w:p>
        </w:tc>
        <w:tc>
          <w:tcPr>
            <w:tcW w:w="5590" w:type="dxa"/>
            <w:shd w:val="clear" w:color="auto" w:fill="auto"/>
            <w:hideMark/>
          </w:tcPr>
          <w:p w14:paraId="75F0C593" w14:textId="6328995C" w:rsidR="002733C2" w:rsidRPr="00715C38" w:rsidRDefault="002733C2" w:rsidP="0016697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Equity in distribution of water use potential; Equity in distribution of costs and effort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30D87CE2" w14:textId="77777777" w:rsidR="002733C2" w:rsidRPr="00715C38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11</w:t>
            </w:r>
          </w:p>
        </w:tc>
        <w:tc>
          <w:tcPr>
            <w:tcW w:w="6206" w:type="dxa"/>
            <w:shd w:val="clear" w:color="auto" w:fill="auto"/>
          </w:tcPr>
          <w:p w14:paraId="7C3BB3E7" w14:textId="2C11329B" w:rsidR="002733C2" w:rsidRPr="00596CAD" w:rsidRDefault="002733C2" w:rsidP="0048248A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 xml:space="preserve">Number of farms with increased/decreased irrigation costs; </w:t>
            </w:r>
            <w:r w:rsidR="0048248A" w:rsidRPr="00715C38">
              <w:rPr>
                <w:rFonts w:eastAsia="Calibri" w:cs="Times New Roman"/>
                <w:lang w:val="en-US"/>
              </w:rPr>
              <w:t>A</w:t>
            </w:r>
            <w:r w:rsidRPr="00715C38">
              <w:rPr>
                <w:rFonts w:eastAsia="Calibri" w:cs="Times New Roman"/>
                <w:lang w:val="en-US"/>
              </w:rPr>
              <w:t>reas with increased/decreased irrigation water</w:t>
            </w:r>
          </w:p>
        </w:tc>
      </w:tr>
      <w:tr w:rsidR="00056C03" w:rsidRPr="00064154" w14:paraId="70618E75" w14:textId="77777777" w:rsidTr="002E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gridSpan w:val="2"/>
            <w:shd w:val="clear" w:color="auto" w:fill="auto"/>
            <w:hideMark/>
          </w:tcPr>
          <w:p w14:paraId="375CCD7F" w14:textId="63D9E95A" w:rsidR="002733C2" w:rsidRPr="00596CAD" w:rsidRDefault="002733C2" w:rsidP="001C1FF7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Efficiency</w:t>
            </w:r>
          </w:p>
        </w:tc>
        <w:tc>
          <w:tcPr>
            <w:tcW w:w="5590" w:type="dxa"/>
            <w:shd w:val="clear" w:color="auto" w:fill="auto"/>
            <w:hideMark/>
          </w:tcPr>
          <w:p w14:paraId="7E444BE9" w14:textId="562EBEAC" w:rsidR="002733C2" w:rsidRPr="00596CAD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Efficiency of water management decisions;</w:t>
            </w:r>
          </w:p>
          <w:p w14:paraId="1D21347D" w14:textId="25F10C43" w:rsidR="002733C2" w:rsidRPr="00596CAD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Efficiency of the water management infrastructure;</w:t>
            </w:r>
          </w:p>
          <w:p w14:paraId="1DE76938" w14:textId="748B079F" w:rsidR="002733C2" w:rsidRPr="00715C38" w:rsidRDefault="002733C2" w:rsidP="0016697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>Efficiency of agricultural water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1BC3999" w14:textId="77777777" w:rsidR="002733C2" w:rsidRPr="00596CAD" w:rsidRDefault="002733C2" w:rsidP="001C1FF7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19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CFA7B86" w14:textId="15720F2F" w:rsidR="002733C2" w:rsidRPr="00715C38" w:rsidRDefault="002733C2" w:rsidP="00E0377F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 xml:space="preserve">Yield of agricultural production compared to potential yield; </w:t>
            </w:r>
            <w:r w:rsidR="0048248A" w:rsidRPr="00596CAD">
              <w:rPr>
                <w:rFonts w:eastAsia="Calibri" w:cs="Times New Roman"/>
                <w:lang w:val="en-US"/>
              </w:rPr>
              <w:t>C</w:t>
            </w:r>
            <w:r w:rsidRPr="00596CAD">
              <w:rPr>
                <w:rFonts w:eastAsia="Calibri" w:cs="Times New Roman"/>
                <w:lang w:val="en-US"/>
              </w:rPr>
              <w:t xml:space="preserve">ost of 1 cubic m of water released from reservoirs; </w:t>
            </w:r>
            <w:r w:rsidR="0048248A" w:rsidRPr="00715C38">
              <w:rPr>
                <w:rFonts w:eastAsia="Calibri" w:cs="Times New Roman"/>
                <w:lang w:val="en-US"/>
              </w:rPr>
              <w:t>U</w:t>
            </w:r>
            <w:r w:rsidRPr="00715C38">
              <w:rPr>
                <w:rFonts w:eastAsia="Calibri" w:cs="Times New Roman"/>
                <w:lang w:val="en-US"/>
              </w:rPr>
              <w:t>se rate of reservoirs</w:t>
            </w:r>
          </w:p>
        </w:tc>
      </w:tr>
      <w:tr w:rsidR="00056C03" w:rsidRPr="00064154" w14:paraId="2AC6728F" w14:textId="77777777" w:rsidTr="002E1BA7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A302FB" w14:textId="04F76B84" w:rsidR="002733C2" w:rsidRPr="00596CAD" w:rsidRDefault="002733C2" w:rsidP="0016697E">
            <w:pPr>
              <w:spacing w:line="360" w:lineRule="auto"/>
              <w:jc w:val="left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 xml:space="preserve">Political </w:t>
            </w:r>
            <w:r w:rsidR="0016697E" w:rsidRPr="00596CAD">
              <w:rPr>
                <w:rFonts w:eastAsia="Calibri" w:cs="Times New Roman"/>
                <w:lang w:val="en-US"/>
              </w:rPr>
              <w:t xml:space="preserve">intelligibility 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DC1E50" w14:textId="31D6C6ED" w:rsidR="002733C2" w:rsidRPr="00596CAD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Conformity with political/regulatory objectives; Citizen approval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3BC01" w14:textId="77777777" w:rsidR="002733C2" w:rsidRPr="00596CAD" w:rsidRDefault="002733C2" w:rsidP="001C1FF7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596CAD">
              <w:rPr>
                <w:rFonts w:eastAsia="Calibri" w:cs="Times New Roman"/>
                <w:lang w:val="en-US"/>
              </w:rPr>
              <w:t>8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03D25" w14:textId="02830BA8" w:rsidR="002733C2" w:rsidRPr="00715C38" w:rsidRDefault="002733C2" w:rsidP="00500D4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715C38">
              <w:rPr>
                <w:rFonts w:eastAsia="Calibri" w:cs="Times New Roman"/>
                <w:lang w:val="en-US"/>
              </w:rPr>
              <w:t xml:space="preserve">Number of days with decreed </w:t>
            </w:r>
            <w:r w:rsidR="004378B1" w:rsidRPr="00715C38">
              <w:rPr>
                <w:rFonts w:eastAsia="Calibri" w:cs="Times New Roman"/>
                <w:lang w:val="en-US"/>
              </w:rPr>
              <w:t xml:space="preserve">restrictions on </w:t>
            </w:r>
            <w:r w:rsidRPr="00715C38">
              <w:rPr>
                <w:rFonts w:eastAsia="Calibri" w:cs="Times New Roman"/>
                <w:lang w:val="en-US"/>
              </w:rPr>
              <w:t xml:space="preserve">water use; </w:t>
            </w:r>
            <w:r w:rsidR="00500D4D">
              <w:rPr>
                <w:rFonts w:eastAsia="Calibri" w:cs="Times New Roman"/>
                <w:lang w:val="en-US"/>
              </w:rPr>
              <w:t>Average w</w:t>
            </w:r>
            <w:r w:rsidRPr="00715C38">
              <w:rPr>
                <w:rFonts w:eastAsia="Calibri" w:cs="Times New Roman"/>
                <w:lang w:val="en-US"/>
              </w:rPr>
              <w:t>ater consumption per ha</w:t>
            </w:r>
          </w:p>
        </w:tc>
      </w:tr>
    </w:tbl>
    <w:p w14:paraId="0C29EEF3" w14:textId="77777777" w:rsidR="00056C03" w:rsidRPr="00596CAD" w:rsidRDefault="00056C03">
      <w:pPr>
        <w:spacing w:after="160" w:line="259" w:lineRule="auto"/>
        <w:jc w:val="left"/>
        <w:rPr>
          <w:rFonts w:ascii="Calibri Light" w:eastAsia="Times New Roman" w:hAnsi="Calibri Light" w:cs="Times New Roman"/>
          <w:sz w:val="24"/>
          <w:szCs w:val="24"/>
          <w:lang w:val="en-US"/>
        </w:rPr>
      </w:pPr>
      <w:r w:rsidRPr="00596CAD">
        <w:rPr>
          <w:rFonts w:ascii="Calibri Light" w:eastAsia="Times New Roman" w:hAnsi="Calibri Light" w:cs="Times New Roman"/>
          <w:sz w:val="24"/>
          <w:szCs w:val="24"/>
          <w:lang w:val="en-US"/>
        </w:rPr>
        <w:br w:type="page"/>
      </w:r>
    </w:p>
    <w:p w14:paraId="071D0B41" w14:textId="7804DFBD" w:rsidR="002733C2" w:rsidRPr="00715C38" w:rsidRDefault="002733C2" w:rsidP="002733C2">
      <w:pPr>
        <w:pStyle w:val="Sous-titre"/>
        <w:spacing w:line="360" w:lineRule="auto"/>
        <w:rPr>
          <w:sz w:val="22"/>
        </w:rPr>
      </w:pPr>
      <w:r w:rsidRPr="00596CAD">
        <w:rPr>
          <w:b/>
          <w:sz w:val="22"/>
        </w:rPr>
        <w:lastRenderedPageBreak/>
        <w:t>Table 2</w:t>
      </w:r>
      <w:r w:rsidR="0048248A" w:rsidRPr="00715C38">
        <w:rPr>
          <w:b/>
          <w:sz w:val="22"/>
        </w:rPr>
        <w:t>.</w:t>
      </w:r>
      <w:r w:rsidRPr="00715C38">
        <w:rPr>
          <w:sz w:val="22"/>
        </w:rPr>
        <w:t xml:space="preserve"> Extract of the indicator profile database for indicators used as examples in the results (indicators are </w:t>
      </w:r>
      <w:r w:rsidR="0048248A" w:rsidRPr="00715C38">
        <w:rPr>
          <w:sz w:val="22"/>
        </w:rPr>
        <w:t xml:space="preserve">listed </w:t>
      </w:r>
      <w:r w:rsidRPr="00715C38">
        <w:rPr>
          <w:sz w:val="22"/>
        </w:rPr>
        <w:t>in the order in which they appear in the text)</w:t>
      </w:r>
    </w:p>
    <w:tbl>
      <w:tblPr>
        <w:tblW w:w="143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781"/>
        <w:gridCol w:w="2699"/>
        <w:gridCol w:w="1211"/>
        <w:gridCol w:w="1412"/>
        <w:gridCol w:w="1129"/>
        <w:gridCol w:w="1129"/>
        <w:gridCol w:w="1413"/>
        <w:gridCol w:w="1412"/>
        <w:gridCol w:w="1164"/>
      </w:tblGrid>
      <w:tr w:rsidR="002733C2" w:rsidRPr="00596CAD" w14:paraId="15B47863" w14:textId="77777777" w:rsidTr="00500D4D">
        <w:trPr>
          <w:trHeight w:val="1359"/>
          <w:jc w:val="center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55E8F" w14:textId="77777777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</w:p>
          <w:p w14:paraId="0049524B" w14:textId="3CD3EF2F" w:rsidR="002733C2" w:rsidRPr="00596CAD" w:rsidRDefault="002733C2" w:rsidP="00482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N</w:t>
            </w:r>
            <w:r w:rsidR="0048248A"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o.</w:t>
            </w: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 xml:space="preserve"> (see Appendix)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6BF85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Indicator name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E22FB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Definition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0A492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Source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65994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Criterion/a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734E5" w14:textId="05EC926E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Estimation method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4FC87" w14:textId="6D95898B" w:rsidR="002733C2" w:rsidRPr="00596CAD" w:rsidRDefault="00BD5474" w:rsidP="001C1FF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 xml:space="preserve">Resolution </w:t>
            </w:r>
            <w:r w:rsidR="002733C2"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of raw data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87786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Aggregation scale(s)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E172A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>Evaluation scale(s)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B7BAD" w14:textId="61ED4AA1" w:rsidR="002733C2" w:rsidRPr="00596CAD" w:rsidRDefault="002733C2" w:rsidP="00BD547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b/>
                <w:bCs/>
                <w:sz w:val="18"/>
                <w:szCs w:val="18"/>
                <w:lang w:val="en-US" w:eastAsia="fr-FR"/>
              </w:rPr>
              <w:t xml:space="preserve">Representation(s) </w:t>
            </w:r>
          </w:p>
        </w:tc>
      </w:tr>
      <w:tr w:rsidR="002733C2" w:rsidRPr="00596CAD" w14:paraId="06F45846" w14:textId="77777777" w:rsidTr="00500D4D">
        <w:trPr>
          <w:trHeight w:val="120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77B2DF4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67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B9EC820" w14:textId="551FE89E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Area affected by </w:t>
            </w:r>
            <w:r w:rsidR="0091786E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water 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restrictions at key periods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5704F56" w14:textId="31DE032E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Number of ha that encounter water use restrictions when crop production is highly sensitive to water stress.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0A07CAB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experts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7DB91A6" w14:textId="2F55E5E2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Adjustment potential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D6F6BF1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68CBFD6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0A852ED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Farm type; Agricultural landscape; Crop type; Restriction zone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482344E" w14:textId="0CAA0982" w:rsidR="002733C2" w:rsidRPr="00596CAD" w:rsidRDefault="002733C2" w:rsidP="00BD5474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Landscape; </w:t>
            </w:r>
            <w:r w:rsidR="00BD5474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Sub-landscape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(spatial units); </w:t>
            </w:r>
            <w:r w:rsidR="00BD5474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Sub-landscape 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(classes)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21D3E86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single values; map</w:t>
            </w:r>
          </w:p>
        </w:tc>
      </w:tr>
      <w:tr w:rsidR="002733C2" w:rsidRPr="00596CAD" w14:paraId="1E5C38F7" w14:textId="77777777" w:rsidTr="00500D4D">
        <w:trPr>
          <w:trHeight w:val="72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6EB34BE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8534984" w14:textId="060E47E4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Irrigation cost per ha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E384DC1" w14:textId="2B47C334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Average annual costs per ha related to irrigation (including 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amortization of equipment costs)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10BC82B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experts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C0AF868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Equity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BE87F01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15D1F4E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C86DA49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Crop type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C711263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8DB4112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single values</w:t>
            </w:r>
          </w:p>
        </w:tc>
      </w:tr>
      <w:tr w:rsidR="002733C2" w:rsidRPr="00596CAD" w14:paraId="45076D41" w14:textId="77777777" w:rsidTr="00500D4D">
        <w:trPr>
          <w:trHeight w:val="96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3022502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452B04B" w14:textId="7F0B577F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Variation in water stored in soils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341FCAC" w14:textId="5647C2E5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Difference between water stored in soils at the end of the simulation period (15 years) and the beginning of simulation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5871AA4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authors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B15DC59" w14:textId="55A734BA" w:rsidR="002733C2" w:rsidRPr="00596CAD" w:rsidRDefault="00BD5474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Rep</w:t>
            </w:r>
            <w:r w:rsidR="002733C2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roduction of natural capital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0B302D8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E81015D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61E5861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Elementary watershed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5314400" w14:textId="3AAC4B10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Landscape;</w:t>
            </w:r>
            <w:r w:rsidR="009E0490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Sub-landscape (spatial units)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E0A87C6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map</w:t>
            </w:r>
          </w:p>
        </w:tc>
      </w:tr>
      <w:tr w:rsidR="002733C2" w:rsidRPr="00596CAD" w14:paraId="44FFFE70" w14:textId="77777777" w:rsidTr="00500D4D">
        <w:trPr>
          <w:trHeight w:val="120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8F7248A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94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C419860" w14:textId="77777777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Pollution from plant protection practices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B7F7757" w14:textId="1B47CF5F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Qualitative estimate of pollution pressure based on: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br/>
              <w:t>- the quantity of chemicals applied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br/>
              <w:t>- the moment when chemicals are applied (occasional leaching or not)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411FDA1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proofErr w:type="spellStart"/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stakeholders+authors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13BC5BB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Preservation of biodiversity; Safety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D1D7245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DB5AB04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D6E8C26" w14:textId="4E610C23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Elementary watershed; Entire landscape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5036386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Landscape; Infra (spatial units)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E0DDDBB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map; single value</w:t>
            </w:r>
          </w:p>
        </w:tc>
      </w:tr>
      <w:tr w:rsidR="002733C2" w:rsidRPr="00596CAD" w14:paraId="7851FE81" w14:textId="77777777" w:rsidTr="00500D4D">
        <w:trPr>
          <w:trHeight w:val="144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BD0EEAC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113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9610A1D" w14:textId="0893EF88" w:rsidR="002733C2" w:rsidRPr="00715C38" w:rsidRDefault="00600E71" w:rsidP="00600E71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Volume</w:t>
            </w:r>
            <w:r w:rsidR="002733C2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of rainwater return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ed</w:t>
            </w:r>
            <w:r w:rsidR="002733C2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to the environment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ACDB4E7" w14:textId="7CB29364" w:rsidR="002733C2" w:rsidRPr="00596CAD" w:rsidRDefault="002733C2" w:rsidP="0091786E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Volume of rainwater returned to water bodies or soil each year (average)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br/>
              <w:t xml:space="preserve">(Underground infiltration + Surface </w:t>
            </w:r>
            <w:r w:rsidR="0091786E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flow 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+ Sub-surface </w:t>
            </w:r>
            <w:r w:rsidR="0091786E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flow 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- Irrigation) / Rainwater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0A1EEDC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authors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F55722C" w14:textId="096FD323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Reproduction of natural capital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C09CC63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EF2D9F6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5A0B711" w14:textId="22039B11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Entire landscape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19BD507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2483CD2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single value</w:t>
            </w:r>
          </w:p>
        </w:tc>
      </w:tr>
      <w:tr w:rsidR="002733C2" w:rsidRPr="00596CAD" w14:paraId="6E60DA0D" w14:textId="77777777" w:rsidTr="00500D4D">
        <w:trPr>
          <w:trHeight w:val="96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C9DA03B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lastRenderedPageBreak/>
              <w:t>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61903ED" w14:textId="46C4202B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Irrigation capacity of all farms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8B864C1" w14:textId="4C1EA4B8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Cumulative value of the irrigation capacity of all irrigation equipment, expressed relative to the irrigation needs of crops.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4FE08CB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experts; stakeholders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0A434EF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Long-term adaptability of water-use activities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68F587E" w14:textId="179A4618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Calculations based on scenario data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4429EEF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AD80EDD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Agricultural landscape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DBF1E88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80336FA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graph</w:t>
            </w:r>
          </w:p>
        </w:tc>
      </w:tr>
      <w:tr w:rsidR="002733C2" w:rsidRPr="00596CAD" w14:paraId="3FA3FF01" w14:textId="77777777" w:rsidTr="00500D4D">
        <w:trPr>
          <w:trHeight w:val="72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49A1EA2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112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795F4B4" w14:textId="77777777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Impact of water use restrictions on agricultural yields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ED9A503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Average yields without restrictions - Average yields with restrictions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E9C3517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proofErr w:type="spellStart"/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stakeholders+authors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9AD7465" w14:textId="22B4D989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Adjustment potential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E5713A5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D996952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16A5A76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Farm type; Agricultural landscape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81D3B61" w14:textId="0F0A1438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Landscape; Infra (classes)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47BE244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graph</w:t>
            </w:r>
          </w:p>
        </w:tc>
      </w:tr>
      <w:tr w:rsidR="002733C2" w:rsidRPr="00596CAD" w14:paraId="2BAA587E" w14:textId="77777777" w:rsidTr="00500D4D">
        <w:trPr>
          <w:trHeight w:val="96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17A9AF7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139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797A1CA" w14:textId="147FD1F3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Use</w:t>
            </w:r>
            <w:r w:rsidR="00600E71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rate of reservoirs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F2694BA" w14:textId="06A618D8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Volume of water withdrawn from reservoirs for agricultural use / Volume of water stored in the reservoirs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6249551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proofErr w:type="spellStart"/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stakeholders+authors</w:t>
            </w:r>
            <w:proofErr w:type="spellEnd"/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; experts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480ED90" w14:textId="34991D5F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Efficiency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1267C70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C80A755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Reservoirs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EA04F21" w14:textId="71089695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Entire water system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7088A5D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DB108C6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graph</w:t>
            </w:r>
          </w:p>
        </w:tc>
      </w:tr>
      <w:tr w:rsidR="002733C2" w:rsidRPr="00596CAD" w14:paraId="1992C9B9" w14:textId="77777777" w:rsidTr="00500D4D">
        <w:trPr>
          <w:trHeight w:val="96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11194F8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A8CB49A" w14:textId="2D962450" w:rsidR="002733C2" w:rsidRPr="00715C38" w:rsidRDefault="002733C2" w:rsidP="0048248A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Semi-natural elements contribut</w:t>
            </w:r>
            <w:r w:rsidR="0048248A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ing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to water purification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2F94EDC" w14:textId="6F4BDFD4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P</w:t>
            </w:r>
            <w:r w:rsidR="0048248A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rop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ortion of the landscape covered by semi-natural elements that contribute to water purification (wet grasslands, forests, etc.)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15342BD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proofErr w:type="spellStart"/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stakeholders+authors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23406F4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Safety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0FBA49E" w14:textId="2D13C779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Calculations based on scenario data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0E72368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 cover unit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E4616BD" w14:textId="731D6561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 cover unit; Entire landscape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1E30EDA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EBD91E5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single value; map</w:t>
            </w:r>
          </w:p>
        </w:tc>
      </w:tr>
      <w:tr w:rsidR="002733C2" w:rsidRPr="00596CAD" w14:paraId="067CB8EA" w14:textId="77777777" w:rsidTr="00500D4D">
        <w:trPr>
          <w:trHeight w:val="96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F517548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30D1209" w14:textId="78BE2DF4" w:rsidR="002733C2" w:rsidRPr="00715C38" w:rsidRDefault="002733C2" w:rsidP="0048248A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Match between water stor</w:t>
            </w:r>
            <w:r w:rsidR="0048248A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age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capacity and irrigation needs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779DD08" w14:textId="064400A3" w:rsidR="002733C2" w:rsidRPr="00596CAD" w:rsidRDefault="002733C2" w:rsidP="0048248A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Storage capacity in reservoirs for agricultural use / Volume of irrigation water necessary to </w:t>
            </w:r>
            <w:r w:rsidR="0048248A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meet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</w:t>
            </w:r>
            <w:r w:rsidR="0048248A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crop 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needs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92135C0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experts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A17E948" w14:textId="6AD83EDA" w:rsidR="002733C2" w:rsidRPr="00715C38" w:rsidRDefault="002733C2" w:rsidP="00715C38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Efficiency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25D4387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EF459C1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Islet/Field; Reservoirs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F23EE12" w14:textId="3CCA08F2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Entire landscape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07101C8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A5E15F1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single value</w:t>
            </w:r>
          </w:p>
        </w:tc>
      </w:tr>
      <w:tr w:rsidR="002733C2" w:rsidRPr="00596CAD" w14:paraId="1207FD6A" w14:textId="77777777" w:rsidTr="00500D4D">
        <w:trPr>
          <w:trHeight w:val="96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9CE8DF2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144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4286BD0" w14:textId="24460D44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Farms with increase/decrease in irrigation costs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1DBCB772" w14:textId="2BBBD943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Farms with an increase or decrease in irrigation costs compared to the reference scenario (with different thresholds: -30</w:t>
            </w:r>
            <w:r w:rsidR="0048248A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%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, -20</w:t>
            </w:r>
            <w:r w:rsidR="0048248A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%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, -10</w:t>
            </w:r>
            <w:r w:rsidR="0048248A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%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, +10</w:t>
            </w:r>
            <w:r w:rsidR="0048248A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%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, +20</w:t>
            </w:r>
            <w:r w:rsidR="0048248A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%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, +30%)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BD662AF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experts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1A94BE5A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Equity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7573007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Calculations based on scenario data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6DA5243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Farm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092A663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Farm; Farm type; Agricultural landscape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505F9D5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14E405C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graph; map</w:t>
            </w:r>
          </w:p>
        </w:tc>
      </w:tr>
      <w:tr w:rsidR="002733C2" w:rsidRPr="00596CAD" w14:paraId="02ED90C4" w14:textId="77777777" w:rsidTr="00500D4D">
        <w:trPr>
          <w:trHeight w:val="96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79185E0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4C9CF53" w14:textId="608A9B95" w:rsidR="002733C2" w:rsidRPr="00715C38" w:rsidRDefault="00DD1D99" w:rsidP="00DD1D99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Two-year f</w:t>
            </w:r>
            <w:r w:rsidR="002733C2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lood flow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D235AAC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Value of the 2-year flood flow under a scenario of change / Value of the 2-year flood flow without water withdrawals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05A692D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experts; stakeholders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781C462" w14:textId="407F7E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Reproduction of natural capital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8579FB2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4963D10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River/river segment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2B18101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River/river segment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EAED64F" w14:textId="0B1D1204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Landscape; </w:t>
            </w:r>
            <w:r w:rsidR="009E0490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Sub-landscape (spatial units)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4607177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single values; map</w:t>
            </w:r>
          </w:p>
        </w:tc>
      </w:tr>
      <w:tr w:rsidR="002733C2" w:rsidRPr="00596CAD" w14:paraId="5A3E1352" w14:textId="77777777" w:rsidTr="00500D4D">
        <w:trPr>
          <w:trHeight w:val="288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A459EEE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lastRenderedPageBreak/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BEEC595" w14:textId="29416F8C" w:rsidR="002733C2" w:rsidRPr="00715C38" w:rsidRDefault="002733C2" w:rsidP="00500D4D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9A1DF8">
              <w:rPr>
                <w:rFonts w:eastAsia="Times New Roman" w:cs="Times New Roman"/>
                <w:sz w:val="18"/>
                <w:szCs w:val="18"/>
                <w:lang w:val="en-US" w:eastAsia="fr-FR"/>
              </w:rPr>
              <w:t>Impacts on the diversity o</w:t>
            </w:r>
            <w:r w:rsidR="00500D4D">
              <w:rPr>
                <w:rFonts w:eastAsia="Times New Roman" w:cs="Times New Roman"/>
                <w:sz w:val="18"/>
                <w:szCs w:val="18"/>
                <w:lang w:val="en-US" w:eastAsia="fr-FR"/>
              </w:rPr>
              <w:t>f</w:t>
            </w:r>
            <w:r w:rsidRPr="009A1DF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recreational water activities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21EDD04" w14:textId="6F459511" w:rsidR="002733C2" w:rsidRPr="00596CAD" w:rsidRDefault="002733C2" w:rsidP="00C63239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Expert estimates of impacts of scenarios on swimming, canoeing-kayaking</w:t>
            </w:r>
            <w:r w:rsidR="00C63239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,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and fishing based on scenario descriptions and simulations of the quantity of water in rivers. 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br/>
              <w:t xml:space="preserve">Impacts must be estimated in terms of: 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br/>
              <w:t xml:space="preserve">- number of potential sites </w:t>
            </w:r>
            <w:r w:rsidR="00C63239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where 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the activities</w:t>
            </w:r>
            <w:r w:rsidR="00C63239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are practiced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br/>
              <w:t>- maint</w:t>
            </w:r>
            <w:r w:rsidR="00C63239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enance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/ disappearance / development of currently practiced activities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511ADE8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experts; </w:t>
            </w:r>
            <w:proofErr w:type="spellStart"/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stakeholders+authors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24973BF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Wealth and employment; Local identity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6EA57C0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Expert estimates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7355A22" w14:textId="5B74A416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Entire water system; Site of practice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4CFAE14" w14:textId="24C7C406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Entire water system; Site of practice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E562C68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Landscape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AF23DEB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map; narratives</w:t>
            </w:r>
          </w:p>
        </w:tc>
      </w:tr>
      <w:tr w:rsidR="002733C2" w:rsidRPr="00596CAD" w14:paraId="7D82437D" w14:textId="77777777" w:rsidTr="00500D4D">
        <w:trPr>
          <w:trHeight w:val="1440"/>
          <w:jc w:val="center"/>
        </w:trPr>
        <w:tc>
          <w:tcPr>
            <w:tcW w:w="96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A781E69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D337206" w14:textId="6F2B7FD4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9A1DF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Nitrate pressure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9A9F56C" w14:textId="331A29A4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Quantity of nitrates that could pollute vulnerable drinking water watersheds (due to previous pollution or lack of proper equipment).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838EE46" w14:textId="77777777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experts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B19DC8F" w14:textId="77777777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Safety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A2F075B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93A0AC0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2BB0F51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Specific zone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D47464E" w14:textId="49A293B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Landscape; </w:t>
            </w:r>
            <w:r w:rsidR="009E0490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Sub-landscape (spatial units)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260FACD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map</w:t>
            </w:r>
          </w:p>
        </w:tc>
      </w:tr>
      <w:tr w:rsidR="002733C2" w:rsidRPr="00596CAD" w14:paraId="621E621A" w14:textId="77777777" w:rsidTr="00500D4D">
        <w:trPr>
          <w:trHeight w:val="1920"/>
          <w:jc w:val="center"/>
        </w:trPr>
        <w:tc>
          <w:tcPr>
            <w:tcW w:w="962" w:type="dxa"/>
            <w:tcBorders>
              <w:top w:val="single" w:sz="4" w:space="0" w:color="E7E6E6"/>
              <w:left w:val="single" w:sz="4" w:space="0" w:color="E7E6E6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09641B62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76</w:t>
            </w:r>
          </w:p>
        </w:tc>
        <w:tc>
          <w:tcPr>
            <w:tcW w:w="1781" w:type="dxa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607B3393" w14:textId="5E3F91F8" w:rsidR="002733C2" w:rsidRPr="00715C38" w:rsidRDefault="002733C2" w:rsidP="00C63239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9A1DF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Changes in gross margin generated by </w:t>
            </w:r>
            <w:r w:rsidR="00C63239"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each type of 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agricultural production</w:t>
            </w:r>
          </w:p>
        </w:tc>
        <w:tc>
          <w:tcPr>
            <w:tcW w:w="2699" w:type="dxa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71767859" w14:textId="36D22E55" w:rsidR="002733C2" w:rsidRPr="00715C38" w:rsidRDefault="002733C2" w:rsidP="00C63239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For each form of agricultural production: (gross margin in the scenario </w:t>
            </w:r>
            <w:r w:rsidR="00C63239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sym w:font="Symbol" w:char="F02D"/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reference gross margin) / reference gross margin.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br/>
              <w:t xml:space="preserve">The number of employees involved in the value chain of each production type </w:t>
            </w:r>
            <w:r w:rsidR="009E0490" w:rsidRPr="009A1DF8">
              <w:rPr>
                <w:rFonts w:eastAsia="Times New Roman" w:cs="Times New Roman"/>
                <w:sz w:val="18"/>
                <w:szCs w:val="18"/>
                <w:lang w:val="en-US" w:eastAsia="fr-FR"/>
              </w:rPr>
              <w:t>should be</w:t>
            </w: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 included as additional information.</w:t>
            </w:r>
          </w:p>
        </w:tc>
        <w:tc>
          <w:tcPr>
            <w:tcW w:w="1211" w:type="dxa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68F3E863" w14:textId="77777777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experts; </w:t>
            </w:r>
            <w:proofErr w:type="spellStart"/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stakeholders+authors</w:t>
            </w:r>
            <w:proofErr w:type="spellEnd"/>
          </w:p>
        </w:tc>
        <w:tc>
          <w:tcPr>
            <w:tcW w:w="1412" w:type="dxa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70271A1E" w14:textId="77777777" w:rsidR="002733C2" w:rsidRPr="00715C38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Wealth and employment</w:t>
            </w:r>
          </w:p>
        </w:tc>
        <w:tc>
          <w:tcPr>
            <w:tcW w:w="1129" w:type="dxa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2721F047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715C38">
              <w:rPr>
                <w:rFonts w:eastAsia="Times New Roman" w:cs="Times New Roman"/>
                <w:sz w:val="18"/>
                <w:szCs w:val="18"/>
                <w:lang w:val="en-US" w:eastAsia="fr-FR"/>
              </w:rPr>
              <w:t>Model simulation</w:t>
            </w:r>
          </w:p>
        </w:tc>
        <w:tc>
          <w:tcPr>
            <w:tcW w:w="1129" w:type="dxa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5C0BA58A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Islet/Field</w:t>
            </w:r>
          </w:p>
        </w:tc>
        <w:tc>
          <w:tcPr>
            <w:tcW w:w="1413" w:type="dxa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45DA7F7E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Crop type</w:t>
            </w:r>
          </w:p>
        </w:tc>
        <w:tc>
          <w:tcPr>
            <w:tcW w:w="1412" w:type="dxa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6A59CEE0" w14:textId="251E2204" w:rsidR="002733C2" w:rsidRPr="00596CAD" w:rsidRDefault="002733C2" w:rsidP="009E0490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Landscape; </w:t>
            </w:r>
            <w:r w:rsidR="009E0490"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Sub-landscape </w:t>
            </w: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(classes)</w:t>
            </w:r>
          </w:p>
        </w:tc>
        <w:tc>
          <w:tcPr>
            <w:tcW w:w="1164" w:type="dxa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E7E6E6"/>
            </w:tcBorders>
            <w:shd w:val="clear" w:color="auto" w:fill="auto"/>
            <w:hideMark/>
          </w:tcPr>
          <w:p w14:paraId="126259DE" w14:textId="77777777" w:rsidR="002733C2" w:rsidRPr="00596CAD" w:rsidRDefault="002733C2" w:rsidP="001C1FF7">
            <w:pPr>
              <w:spacing w:line="360" w:lineRule="auto"/>
              <w:jc w:val="left"/>
              <w:rPr>
                <w:rFonts w:eastAsia="Times New Roman" w:cs="Times New Roman"/>
                <w:sz w:val="18"/>
                <w:szCs w:val="18"/>
                <w:lang w:val="en-US" w:eastAsia="fr-FR"/>
              </w:rPr>
            </w:pPr>
            <w:r w:rsidRPr="00596CAD">
              <w:rPr>
                <w:rFonts w:eastAsia="Times New Roman" w:cs="Times New Roman"/>
                <w:sz w:val="18"/>
                <w:szCs w:val="18"/>
                <w:lang w:val="en-US" w:eastAsia="fr-FR"/>
              </w:rPr>
              <w:t>graph</w:t>
            </w:r>
          </w:p>
        </w:tc>
      </w:tr>
    </w:tbl>
    <w:p w14:paraId="6D2C253B" w14:textId="77777777" w:rsidR="002733C2" w:rsidRPr="00596CAD" w:rsidRDefault="002733C2" w:rsidP="002733C2">
      <w:pPr>
        <w:spacing w:line="360" w:lineRule="auto"/>
        <w:rPr>
          <w:lang w:val="en-US"/>
        </w:rPr>
      </w:pPr>
    </w:p>
    <w:p w14:paraId="08BEBDE2" w14:textId="77777777" w:rsidR="002733C2" w:rsidRPr="00596CAD" w:rsidRDefault="002733C2" w:rsidP="002733C2">
      <w:pPr>
        <w:spacing w:line="360" w:lineRule="auto"/>
        <w:rPr>
          <w:lang w:val="en-US"/>
        </w:rPr>
        <w:sectPr w:rsidR="002733C2" w:rsidRPr="00596CAD" w:rsidSect="00841C42">
          <w:pgSz w:w="16838" w:h="11906" w:orient="landscape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14:paraId="093CB310" w14:textId="4B11FD9F" w:rsidR="00D67714" w:rsidRDefault="00D67714" w:rsidP="00D67714">
      <w:pPr>
        <w:spacing w:line="360" w:lineRule="auto"/>
      </w:pPr>
      <w:r w:rsidRPr="00D67714"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B0852AE" wp14:editId="0525FC48">
            <wp:simplePos x="0" y="0"/>
            <wp:positionH relativeFrom="column">
              <wp:posOffset>752004</wp:posOffset>
            </wp:positionH>
            <wp:positionV relativeFrom="paragraph">
              <wp:posOffset>3838616</wp:posOffset>
            </wp:positionV>
            <wp:extent cx="3859481" cy="2319795"/>
            <wp:effectExtent l="0" t="0" r="8255" b="4445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9481" cy="231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71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21D874" wp14:editId="345DAAE9">
            <wp:simplePos x="0" y="0"/>
            <wp:positionH relativeFrom="column">
              <wp:posOffset>-150075</wp:posOffset>
            </wp:positionH>
            <wp:positionV relativeFrom="paragraph">
              <wp:posOffset>716824</wp:posOffset>
            </wp:positionV>
            <wp:extent cx="4963885" cy="3122582"/>
            <wp:effectExtent l="0" t="0" r="8255" b="1905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2"/>
                    <a:stretch/>
                  </pic:blipFill>
                  <pic:spPr>
                    <a:xfrm>
                      <a:off x="0" y="0"/>
                      <a:ext cx="4969073" cy="312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44912" w14:textId="77777777" w:rsidR="00D67714" w:rsidRPr="00D67714" w:rsidRDefault="00D67714" w:rsidP="00D67714"/>
    <w:p w14:paraId="451BBDD3" w14:textId="77777777" w:rsidR="00D67714" w:rsidRPr="00D67714" w:rsidRDefault="00D67714" w:rsidP="00D67714"/>
    <w:p w14:paraId="5228CA4F" w14:textId="77777777" w:rsidR="00D67714" w:rsidRPr="00D67714" w:rsidRDefault="00D67714" w:rsidP="00D67714"/>
    <w:p w14:paraId="7519AA81" w14:textId="77777777" w:rsidR="00D67714" w:rsidRPr="00D67714" w:rsidRDefault="00D67714" w:rsidP="00D67714"/>
    <w:p w14:paraId="7C09505D" w14:textId="77777777" w:rsidR="00D67714" w:rsidRPr="00D67714" w:rsidRDefault="00D67714" w:rsidP="00D67714"/>
    <w:p w14:paraId="67E39280" w14:textId="77777777" w:rsidR="00D67714" w:rsidRPr="00D67714" w:rsidRDefault="00D67714" w:rsidP="00D67714"/>
    <w:p w14:paraId="39CEC07E" w14:textId="77777777" w:rsidR="00D67714" w:rsidRPr="00D67714" w:rsidRDefault="00D67714" w:rsidP="00D67714"/>
    <w:p w14:paraId="729626CD" w14:textId="77777777" w:rsidR="00D67714" w:rsidRPr="00D67714" w:rsidRDefault="00D67714" w:rsidP="00D67714"/>
    <w:p w14:paraId="1EE67F17" w14:textId="77777777" w:rsidR="00D67714" w:rsidRPr="00D67714" w:rsidRDefault="00D67714" w:rsidP="00D67714"/>
    <w:p w14:paraId="053685B4" w14:textId="77777777" w:rsidR="00D67714" w:rsidRPr="00D67714" w:rsidRDefault="00D67714" w:rsidP="00D67714"/>
    <w:p w14:paraId="6C647EBE" w14:textId="77777777" w:rsidR="00D67714" w:rsidRPr="00D67714" w:rsidRDefault="00D67714" w:rsidP="00D67714"/>
    <w:p w14:paraId="6F907FD0" w14:textId="77777777" w:rsidR="00D67714" w:rsidRPr="00D67714" w:rsidRDefault="00D67714" w:rsidP="00D67714"/>
    <w:p w14:paraId="0BCC5533" w14:textId="77777777" w:rsidR="00D67714" w:rsidRPr="00D67714" w:rsidRDefault="00D67714" w:rsidP="00D67714"/>
    <w:p w14:paraId="7DF8E0D2" w14:textId="77777777" w:rsidR="00D67714" w:rsidRPr="00D67714" w:rsidRDefault="00D67714" w:rsidP="00D67714"/>
    <w:p w14:paraId="568F3198" w14:textId="77777777" w:rsidR="00D67714" w:rsidRPr="00D67714" w:rsidRDefault="00D67714" w:rsidP="00D67714"/>
    <w:p w14:paraId="01667A40" w14:textId="77777777" w:rsidR="00D67714" w:rsidRPr="00D67714" w:rsidRDefault="00D67714" w:rsidP="00D67714"/>
    <w:p w14:paraId="071ED042" w14:textId="77777777" w:rsidR="00D67714" w:rsidRPr="00D67714" w:rsidRDefault="00D67714" w:rsidP="00D67714"/>
    <w:p w14:paraId="53F159A3" w14:textId="77777777" w:rsidR="00D67714" w:rsidRPr="00D67714" w:rsidRDefault="00D67714" w:rsidP="00D67714"/>
    <w:p w14:paraId="025128FB" w14:textId="77777777" w:rsidR="00D67714" w:rsidRPr="00D67714" w:rsidRDefault="00D67714" w:rsidP="00D67714"/>
    <w:p w14:paraId="08541FA9" w14:textId="77777777" w:rsidR="00D67714" w:rsidRPr="00D67714" w:rsidRDefault="00D67714" w:rsidP="00D67714"/>
    <w:p w14:paraId="61509303" w14:textId="77777777" w:rsidR="00D67714" w:rsidRPr="00D67714" w:rsidRDefault="00D67714" w:rsidP="00D67714"/>
    <w:p w14:paraId="7C4AE9C8" w14:textId="77777777" w:rsidR="00D67714" w:rsidRPr="00D67714" w:rsidRDefault="00D67714" w:rsidP="00D67714"/>
    <w:p w14:paraId="1613D6CF" w14:textId="77777777" w:rsidR="00D67714" w:rsidRPr="00D67714" w:rsidRDefault="00D67714" w:rsidP="00D67714"/>
    <w:p w14:paraId="1F67944D" w14:textId="77777777" w:rsidR="00D67714" w:rsidRPr="00D67714" w:rsidRDefault="00D67714" w:rsidP="00D67714"/>
    <w:p w14:paraId="1BE7240B" w14:textId="77777777" w:rsidR="00D67714" w:rsidRPr="00D67714" w:rsidRDefault="00D67714" w:rsidP="00D67714"/>
    <w:p w14:paraId="7B162711" w14:textId="77777777" w:rsidR="00D67714" w:rsidRPr="00D67714" w:rsidRDefault="00D67714" w:rsidP="00D67714"/>
    <w:p w14:paraId="53185FAE" w14:textId="77777777" w:rsidR="00D67714" w:rsidRPr="00D67714" w:rsidRDefault="00D67714" w:rsidP="00D67714"/>
    <w:p w14:paraId="60976700" w14:textId="77777777" w:rsidR="00D67714" w:rsidRPr="00D67714" w:rsidRDefault="00D67714" w:rsidP="00D67714"/>
    <w:p w14:paraId="4F998B06" w14:textId="77777777" w:rsidR="00D67714" w:rsidRPr="00D67714" w:rsidRDefault="00D67714" w:rsidP="00D67714"/>
    <w:p w14:paraId="0C17F934" w14:textId="77777777" w:rsidR="00D67714" w:rsidRPr="00D67714" w:rsidRDefault="00D67714" w:rsidP="00D67714"/>
    <w:p w14:paraId="76C2797A" w14:textId="77777777" w:rsidR="00D67714" w:rsidRPr="00D67714" w:rsidRDefault="00D67714" w:rsidP="00D67714"/>
    <w:p w14:paraId="0C3BABCF" w14:textId="1DBB47A4" w:rsidR="00D67714" w:rsidRDefault="00D67714" w:rsidP="00D67714"/>
    <w:p w14:paraId="4A233E5F" w14:textId="77777777" w:rsidR="00D67714" w:rsidRPr="00D67714" w:rsidRDefault="00D67714" w:rsidP="00D67714"/>
    <w:p w14:paraId="7725492A" w14:textId="77777777" w:rsidR="00D67714" w:rsidRPr="00D67714" w:rsidRDefault="00D67714" w:rsidP="00D67714"/>
    <w:p w14:paraId="56B6447A" w14:textId="77777777" w:rsidR="00D67714" w:rsidRPr="00D67714" w:rsidRDefault="00D67714" w:rsidP="00D67714"/>
    <w:p w14:paraId="74874288" w14:textId="77777777" w:rsidR="00D67714" w:rsidRPr="00D67714" w:rsidRDefault="00D67714" w:rsidP="00D67714"/>
    <w:p w14:paraId="34B81E0B" w14:textId="04104BE1" w:rsidR="00D67714" w:rsidRDefault="00D67714" w:rsidP="00D67714"/>
    <w:p w14:paraId="003B9C95" w14:textId="09F2A931" w:rsidR="00D67714" w:rsidRDefault="00D67714" w:rsidP="00D67714"/>
    <w:p w14:paraId="3D5184F5" w14:textId="7B669025" w:rsidR="00D67714" w:rsidRDefault="00D67714" w:rsidP="00D67714"/>
    <w:p w14:paraId="28B4D49A" w14:textId="3B48358A" w:rsidR="007B55A9" w:rsidRPr="00D67714" w:rsidRDefault="00D67714" w:rsidP="00D67714">
      <w:pPr>
        <w:tabs>
          <w:tab w:val="left" w:pos="711"/>
        </w:tabs>
        <w:rPr>
          <w:lang w:val="en-US"/>
        </w:rPr>
      </w:pPr>
      <w:r w:rsidRPr="00D67714">
        <w:rPr>
          <w:lang w:val="en-US"/>
        </w:rPr>
        <w:t xml:space="preserve">Fig. 2: </w:t>
      </w:r>
      <w:r w:rsidR="004B27DF">
        <w:rPr>
          <w:lang w:val="en-US"/>
        </w:rPr>
        <w:t>Indicators resulting from two different</w:t>
      </w:r>
      <w:r w:rsidRPr="00D67714">
        <w:rPr>
          <w:lang w:val="en-US"/>
        </w:rPr>
        <w:t xml:space="preserve"> </w:t>
      </w:r>
      <w:r>
        <w:rPr>
          <w:lang w:val="en-US"/>
        </w:rPr>
        <w:t xml:space="preserve">spatial </w:t>
      </w:r>
      <w:r w:rsidRPr="00D67714">
        <w:rPr>
          <w:lang w:val="en-US"/>
        </w:rPr>
        <w:t>ag</w:t>
      </w:r>
      <w:r>
        <w:rPr>
          <w:lang w:val="en-US"/>
        </w:rPr>
        <w:t>g</w:t>
      </w:r>
      <w:r w:rsidRPr="00D67714">
        <w:rPr>
          <w:lang w:val="en-US"/>
        </w:rPr>
        <w:t>regation choices</w:t>
      </w:r>
      <w:r w:rsidR="004B27DF">
        <w:rPr>
          <w:lang w:val="en-US"/>
        </w:rPr>
        <w:t>. Up:</w:t>
      </w:r>
      <w:r>
        <w:rPr>
          <w:lang w:val="en-US"/>
        </w:rPr>
        <w:t xml:space="preserve"> </w:t>
      </w:r>
      <w:r w:rsidRPr="00D67714">
        <w:rPr>
          <w:lang w:val="en-US"/>
        </w:rPr>
        <w:t>partial ag</w:t>
      </w:r>
      <w:r>
        <w:rPr>
          <w:lang w:val="en-US"/>
        </w:rPr>
        <w:t>gregation (</w:t>
      </w:r>
      <w:r w:rsidRPr="00D67714">
        <w:rPr>
          <w:lang w:val="en-US"/>
        </w:rPr>
        <w:t xml:space="preserve">at the </w:t>
      </w:r>
      <w:r w:rsidR="004B27DF">
        <w:rPr>
          <w:lang w:val="en-US"/>
        </w:rPr>
        <w:t xml:space="preserve">scale of elementary watersheds); down: </w:t>
      </w:r>
      <w:r w:rsidRPr="00D67714">
        <w:rPr>
          <w:lang w:val="en-US"/>
        </w:rPr>
        <w:t>complete aggre</w:t>
      </w:r>
      <w:r>
        <w:rPr>
          <w:lang w:val="en-US"/>
        </w:rPr>
        <w:t>gation (at the scale of the entire landscape).</w:t>
      </w:r>
      <w:r w:rsidR="00DD415A">
        <w:rPr>
          <w:lang w:val="en-US"/>
        </w:rPr>
        <w:t xml:space="preserve"> The two series of indicators are made out of the same raw data </w:t>
      </w:r>
      <w:r w:rsidR="00064154">
        <w:rPr>
          <w:lang w:val="en-US"/>
        </w:rPr>
        <w:t>of</w:t>
      </w:r>
      <w:r w:rsidR="00DD415A">
        <w:rPr>
          <w:lang w:val="en-US"/>
        </w:rPr>
        <w:t xml:space="preserve"> agricultural water withdrawals</w:t>
      </w:r>
      <w:r w:rsidR="00064154">
        <w:rPr>
          <w:lang w:val="en-US"/>
        </w:rPr>
        <w:t xml:space="preserve"> simulated at the field scale</w:t>
      </w:r>
      <w:r w:rsidR="004B27DF">
        <w:rPr>
          <w:lang w:val="en-US"/>
        </w:rPr>
        <w:t xml:space="preserve"> for 4 scenarios</w:t>
      </w:r>
      <w:r w:rsidR="00DD415A">
        <w:rPr>
          <w:lang w:val="en-US"/>
        </w:rPr>
        <w:t xml:space="preserve">. </w:t>
      </w:r>
    </w:p>
    <w:sectPr w:rsidR="007B55A9" w:rsidRPr="00D67714" w:rsidSect="002733C2"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3862" w14:textId="77777777" w:rsidR="00D213C1" w:rsidRDefault="00D213C1" w:rsidP="007B5427">
      <w:r>
        <w:separator/>
      </w:r>
    </w:p>
  </w:endnote>
  <w:endnote w:type="continuationSeparator" w:id="0">
    <w:p w14:paraId="041011E7" w14:textId="77777777" w:rsidR="00D213C1" w:rsidRDefault="00D213C1" w:rsidP="007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641012"/>
      <w:docPartObj>
        <w:docPartGallery w:val="Page Numbers (Bottom of Page)"/>
        <w:docPartUnique/>
      </w:docPartObj>
    </w:sdtPr>
    <w:sdtEndPr/>
    <w:sdtContent>
      <w:p w14:paraId="71630A7D" w14:textId="77777777" w:rsidR="00AE1640" w:rsidRDefault="00AE16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15F">
          <w:rPr>
            <w:noProof/>
          </w:rPr>
          <w:t>7</w:t>
        </w:r>
        <w:r>
          <w:fldChar w:fldCharType="end"/>
        </w:r>
      </w:p>
    </w:sdtContent>
  </w:sdt>
  <w:p w14:paraId="7F9655D1" w14:textId="77777777" w:rsidR="00AE1640" w:rsidRDefault="00AE16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3C23" w14:textId="77777777" w:rsidR="00D213C1" w:rsidRDefault="00D213C1" w:rsidP="007B5427">
      <w:r>
        <w:separator/>
      </w:r>
    </w:p>
  </w:footnote>
  <w:footnote w:type="continuationSeparator" w:id="0">
    <w:p w14:paraId="4BE85AFB" w14:textId="77777777" w:rsidR="00D213C1" w:rsidRDefault="00D213C1" w:rsidP="007B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0128"/>
    <w:multiLevelType w:val="hybridMultilevel"/>
    <w:tmpl w:val="94A86324"/>
    <w:lvl w:ilvl="0" w:tplc="63F2B5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2DA6"/>
    <w:multiLevelType w:val="hybridMultilevel"/>
    <w:tmpl w:val="E88E3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6C51"/>
    <w:multiLevelType w:val="hybridMultilevel"/>
    <w:tmpl w:val="68DE8898"/>
    <w:lvl w:ilvl="0" w:tplc="843456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3445"/>
    <w:multiLevelType w:val="hybridMultilevel"/>
    <w:tmpl w:val="F51C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526E"/>
    <w:multiLevelType w:val="hybridMultilevel"/>
    <w:tmpl w:val="13C0F328"/>
    <w:lvl w:ilvl="0" w:tplc="843456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B7EB2"/>
    <w:multiLevelType w:val="multilevel"/>
    <w:tmpl w:val="01462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9D24C0"/>
    <w:multiLevelType w:val="hybridMultilevel"/>
    <w:tmpl w:val="79B81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39B6"/>
    <w:multiLevelType w:val="hybridMultilevel"/>
    <w:tmpl w:val="360836E4"/>
    <w:lvl w:ilvl="0" w:tplc="4F8AE0A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833"/>
    <w:multiLevelType w:val="hybridMultilevel"/>
    <w:tmpl w:val="2E387828"/>
    <w:lvl w:ilvl="0" w:tplc="AC00F54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C776E"/>
    <w:multiLevelType w:val="multilevel"/>
    <w:tmpl w:val="01462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575488"/>
    <w:multiLevelType w:val="hybridMultilevel"/>
    <w:tmpl w:val="3D16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30F54"/>
    <w:multiLevelType w:val="hybridMultilevel"/>
    <w:tmpl w:val="787A8002"/>
    <w:lvl w:ilvl="0" w:tplc="5BAC30C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9"/>
    <w:rsid w:val="00000467"/>
    <w:rsid w:val="00000498"/>
    <w:rsid w:val="0000242F"/>
    <w:rsid w:val="000040A2"/>
    <w:rsid w:val="00004F52"/>
    <w:rsid w:val="00005182"/>
    <w:rsid w:val="00005B74"/>
    <w:rsid w:val="000107C6"/>
    <w:rsid w:val="00010EF8"/>
    <w:rsid w:val="00011F18"/>
    <w:rsid w:val="0001356D"/>
    <w:rsid w:val="00013CF5"/>
    <w:rsid w:val="000141D4"/>
    <w:rsid w:val="00016D7A"/>
    <w:rsid w:val="000224CF"/>
    <w:rsid w:val="000246BC"/>
    <w:rsid w:val="000319B6"/>
    <w:rsid w:val="00033BCB"/>
    <w:rsid w:val="00033D3F"/>
    <w:rsid w:val="000362B9"/>
    <w:rsid w:val="0004423E"/>
    <w:rsid w:val="000448E1"/>
    <w:rsid w:val="0004537D"/>
    <w:rsid w:val="00051604"/>
    <w:rsid w:val="00051CBB"/>
    <w:rsid w:val="0005258C"/>
    <w:rsid w:val="000560E8"/>
    <w:rsid w:val="00056C03"/>
    <w:rsid w:val="00056C61"/>
    <w:rsid w:val="00057815"/>
    <w:rsid w:val="000614D2"/>
    <w:rsid w:val="00061592"/>
    <w:rsid w:val="00064154"/>
    <w:rsid w:val="00064C1F"/>
    <w:rsid w:val="000658B2"/>
    <w:rsid w:val="00066F11"/>
    <w:rsid w:val="000670D7"/>
    <w:rsid w:val="000672D5"/>
    <w:rsid w:val="000678E3"/>
    <w:rsid w:val="0007274C"/>
    <w:rsid w:val="000729AA"/>
    <w:rsid w:val="0007422D"/>
    <w:rsid w:val="00075671"/>
    <w:rsid w:val="00077EE7"/>
    <w:rsid w:val="00080EEE"/>
    <w:rsid w:val="0008328C"/>
    <w:rsid w:val="00086851"/>
    <w:rsid w:val="00086E19"/>
    <w:rsid w:val="00090E4F"/>
    <w:rsid w:val="000928A1"/>
    <w:rsid w:val="000966B3"/>
    <w:rsid w:val="000968AD"/>
    <w:rsid w:val="00097092"/>
    <w:rsid w:val="000976F2"/>
    <w:rsid w:val="000A15F3"/>
    <w:rsid w:val="000A196F"/>
    <w:rsid w:val="000A29F9"/>
    <w:rsid w:val="000A2BCB"/>
    <w:rsid w:val="000A39E2"/>
    <w:rsid w:val="000A4F70"/>
    <w:rsid w:val="000A7DD3"/>
    <w:rsid w:val="000B229A"/>
    <w:rsid w:val="000B2312"/>
    <w:rsid w:val="000B2CA3"/>
    <w:rsid w:val="000B5DD4"/>
    <w:rsid w:val="000C4526"/>
    <w:rsid w:val="000C4766"/>
    <w:rsid w:val="000C5C00"/>
    <w:rsid w:val="000C6C1F"/>
    <w:rsid w:val="000C7746"/>
    <w:rsid w:val="000D0923"/>
    <w:rsid w:val="000D09E3"/>
    <w:rsid w:val="000D12B6"/>
    <w:rsid w:val="000D2804"/>
    <w:rsid w:val="000D2C34"/>
    <w:rsid w:val="000D688A"/>
    <w:rsid w:val="000F1D81"/>
    <w:rsid w:val="000F54CA"/>
    <w:rsid w:val="00101164"/>
    <w:rsid w:val="00105426"/>
    <w:rsid w:val="00105B2F"/>
    <w:rsid w:val="00113B29"/>
    <w:rsid w:val="00113D42"/>
    <w:rsid w:val="0012599C"/>
    <w:rsid w:val="00126A98"/>
    <w:rsid w:val="0013101B"/>
    <w:rsid w:val="0013188F"/>
    <w:rsid w:val="00131980"/>
    <w:rsid w:val="00132451"/>
    <w:rsid w:val="0013469A"/>
    <w:rsid w:val="001360B3"/>
    <w:rsid w:val="0013639C"/>
    <w:rsid w:val="0013697C"/>
    <w:rsid w:val="00137436"/>
    <w:rsid w:val="00140241"/>
    <w:rsid w:val="00142A86"/>
    <w:rsid w:val="0014499A"/>
    <w:rsid w:val="00146763"/>
    <w:rsid w:val="00147ABD"/>
    <w:rsid w:val="00152260"/>
    <w:rsid w:val="0015300B"/>
    <w:rsid w:val="00154B8F"/>
    <w:rsid w:val="00154B9F"/>
    <w:rsid w:val="001551C3"/>
    <w:rsid w:val="00163C2D"/>
    <w:rsid w:val="00164200"/>
    <w:rsid w:val="001662D9"/>
    <w:rsid w:val="0016697E"/>
    <w:rsid w:val="001675F2"/>
    <w:rsid w:val="001701A6"/>
    <w:rsid w:val="00173860"/>
    <w:rsid w:val="0017616C"/>
    <w:rsid w:val="0017655A"/>
    <w:rsid w:val="001818DD"/>
    <w:rsid w:val="00184501"/>
    <w:rsid w:val="00186C3E"/>
    <w:rsid w:val="0018715F"/>
    <w:rsid w:val="0018732A"/>
    <w:rsid w:val="00187868"/>
    <w:rsid w:val="00190FC7"/>
    <w:rsid w:val="0019188A"/>
    <w:rsid w:val="0019441B"/>
    <w:rsid w:val="00194733"/>
    <w:rsid w:val="0019523D"/>
    <w:rsid w:val="001964A5"/>
    <w:rsid w:val="0019725A"/>
    <w:rsid w:val="001A0665"/>
    <w:rsid w:val="001A346A"/>
    <w:rsid w:val="001A5E49"/>
    <w:rsid w:val="001A680B"/>
    <w:rsid w:val="001A7CCC"/>
    <w:rsid w:val="001B1EDF"/>
    <w:rsid w:val="001B27D0"/>
    <w:rsid w:val="001B622A"/>
    <w:rsid w:val="001B7679"/>
    <w:rsid w:val="001C0A6E"/>
    <w:rsid w:val="001C10F8"/>
    <w:rsid w:val="001C1FF7"/>
    <w:rsid w:val="001C388F"/>
    <w:rsid w:val="001C3BF4"/>
    <w:rsid w:val="001C4461"/>
    <w:rsid w:val="001D1D30"/>
    <w:rsid w:val="001D3DB5"/>
    <w:rsid w:val="001D43A6"/>
    <w:rsid w:val="001D59F8"/>
    <w:rsid w:val="001D61D7"/>
    <w:rsid w:val="001E0889"/>
    <w:rsid w:val="001E46CC"/>
    <w:rsid w:val="001E6EA9"/>
    <w:rsid w:val="001F097F"/>
    <w:rsid w:val="001F1294"/>
    <w:rsid w:val="001F3830"/>
    <w:rsid w:val="001F3F39"/>
    <w:rsid w:val="001F7B64"/>
    <w:rsid w:val="0020276D"/>
    <w:rsid w:val="00202A27"/>
    <w:rsid w:val="00205858"/>
    <w:rsid w:val="00217ECB"/>
    <w:rsid w:val="002232A7"/>
    <w:rsid w:val="00226D71"/>
    <w:rsid w:val="00227FE6"/>
    <w:rsid w:val="00231687"/>
    <w:rsid w:val="002323BD"/>
    <w:rsid w:val="00234D93"/>
    <w:rsid w:val="00242BAA"/>
    <w:rsid w:val="00244D93"/>
    <w:rsid w:val="00250F40"/>
    <w:rsid w:val="00260630"/>
    <w:rsid w:val="00262038"/>
    <w:rsid w:val="00262648"/>
    <w:rsid w:val="002635D4"/>
    <w:rsid w:val="00263EEC"/>
    <w:rsid w:val="00264D5C"/>
    <w:rsid w:val="002655D9"/>
    <w:rsid w:val="00265BC2"/>
    <w:rsid w:val="00273202"/>
    <w:rsid w:val="002733C2"/>
    <w:rsid w:val="0027388A"/>
    <w:rsid w:val="002763B5"/>
    <w:rsid w:val="00276F76"/>
    <w:rsid w:val="0028626C"/>
    <w:rsid w:val="002926EA"/>
    <w:rsid w:val="00294EEB"/>
    <w:rsid w:val="002950F0"/>
    <w:rsid w:val="00295A0D"/>
    <w:rsid w:val="00295AA6"/>
    <w:rsid w:val="00296EC0"/>
    <w:rsid w:val="0029709D"/>
    <w:rsid w:val="00297311"/>
    <w:rsid w:val="0029759E"/>
    <w:rsid w:val="00297D0E"/>
    <w:rsid w:val="002A1108"/>
    <w:rsid w:val="002A4837"/>
    <w:rsid w:val="002B0720"/>
    <w:rsid w:val="002B0D24"/>
    <w:rsid w:val="002B4BB1"/>
    <w:rsid w:val="002B723F"/>
    <w:rsid w:val="002B7EEE"/>
    <w:rsid w:val="002C25DE"/>
    <w:rsid w:val="002C2B02"/>
    <w:rsid w:val="002C3BC5"/>
    <w:rsid w:val="002C6A26"/>
    <w:rsid w:val="002D2AA7"/>
    <w:rsid w:val="002D49A8"/>
    <w:rsid w:val="002D64A6"/>
    <w:rsid w:val="002E1BA7"/>
    <w:rsid w:val="002E2298"/>
    <w:rsid w:val="002E4734"/>
    <w:rsid w:val="002F0E94"/>
    <w:rsid w:val="002F17AB"/>
    <w:rsid w:val="002F328E"/>
    <w:rsid w:val="002F3621"/>
    <w:rsid w:val="002F3D60"/>
    <w:rsid w:val="002F5411"/>
    <w:rsid w:val="002F7926"/>
    <w:rsid w:val="002F7B49"/>
    <w:rsid w:val="002F7BF3"/>
    <w:rsid w:val="003015E3"/>
    <w:rsid w:val="00302459"/>
    <w:rsid w:val="00306F64"/>
    <w:rsid w:val="00312A76"/>
    <w:rsid w:val="00321C43"/>
    <w:rsid w:val="003229A4"/>
    <w:rsid w:val="00323AC3"/>
    <w:rsid w:val="00323DE3"/>
    <w:rsid w:val="003270A0"/>
    <w:rsid w:val="0032728B"/>
    <w:rsid w:val="003306D9"/>
    <w:rsid w:val="0033083F"/>
    <w:rsid w:val="00331C1A"/>
    <w:rsid w:val="003335F0"/>
    <w:rsid w:val="00333976"/>
    <w:rsid w:val="00334186"/>
    <w:rsid w:val="00336EA7"/>
    <w:rsid w:val="00336FA1"/>
    <w:rsid w:val="003423A4"/>
    <w:rsid w:val="003429A5"/>
    <w:rsid w:val="0034493D"/>
    <w:rsid w:val="00345417"/>
    <w:rsid w:val="003463ED"/>
    <w:rsid w:val="00346412"/>
    <w:rsid w:val="003468F5"/>
    <w:rsid w:val="003470F3"/>
    <w:rsid w:val="003479E2"/>
    <w:rsid w:val="003516C3"/>
    <w:rsid w:val="00353BA1"/>
    <w:rsid w:val="003548E8"/>
    <w:rsid w:val="003564BD"/>
    <w:rsid w:val="003612DA"/>
    <w:rsid w:val="00361DD9"/>
    <w:rsid w:val="00362AAD"/>
    <w:rsid w:val="00363F6A"/>
    <w:rsid w:val="00370162"/>
    <w:rsid w:val="003701D4"/>
    <w:rsid w:val="00370F9C"/>
    <w:rsid w:val="00372B4F"/>
    <w:rsid w:val="00376AF1"/>
    <w:rsid w:val="00381810"/>
    <w:rsid w:val="00386E3A"/>
    <w:rsid w:val="00387D56"/>
    <w:rsid w:val="00393C50"/>
    <w:rsid w:val="00395D16"/>
    <w:rsid w:val="003A044D"/>
    <w:rsid w:val="003A4E8C"/>
    <w:rsid w:val="003B127B"/>
    <w:rsid w:val="003B1E6E"/>
    <w:rsid w:val="003B3ED5"/>
    <w:rsid w:val="003B52C5"/>
    <w:rsid w:val="003C060F"/>
    <w:rsid w:val="003C180A"/>
    <w:rsid w:val="003C305C"/>
    <w:rsid w:val="003C30AA"/>
    <w:rsid w:val="003C666B"/>
    <w:rsid w:val="003D2DA6"/>
    <w:rsid w:val="003D3364"/>
    <w:rsid w:val="003D3EBC"/>
    <w:rsid w:val="003D4CAE"/>
    <w:rsid w:val="003F117B"/>
    <w:rsid w:val="003F2808"/>
    <w:rsid w:val="003F4289"/>
    <w:rsid w:val="003F65C4"/>
    <w:rsid w:val="0040070C"/>
    <w:rsid w:val="00411FE7"/>
    <w:rsid w:val="00415FE5"/>
    <w:rsid w:val="00417815"/>
    <w:rsid w:val="00417C1F"/>
    <w:rsid w:val="00424321"/>
    <w:rsid w:val="004247D3"/>
    <w:rsid w:val="00425396"/>
    <w:rsid w:val="004340E7"/>
    <w:rsid w:val="004345F2"/>
    <w:rsid w:val="00435653"/>
    <w:rsid w:val="00435B0D"/>
    <w:rsid w:val="00435B8C"/>
    <w:rsid w:val="004377EB"/>
    <w:rsid w:val="004378B1"/>
    <w:rsid w:val="004409FD"/>
    <w:rsid w:val="004416DA"/>
    <w:rsid w:val="0044424F"/>
    <w:rsid w:val="00445186"/>
    <w:rsid w:val="00445489"/>
    <w:rsid w:val="004454B1"/>
    <w:rsid w:val="00445633"/>
    <w:rsid w:val="00447902"/>
    <w:rsid w:val="00447D9E"/>
    <w:rsid w:val="00450C16"/>
    <w:rsid w:val="004536BB"/>
    <w:rsid w:val="00454C4B"/>
    <w:rsid w:val="00456670"/>
    <w:rsid w:val="00456BAF"/>
    <w:rsid w:val="00461DCB"/>
    <w:rsid w:val="0046786A"/>
    <w:rsid w:val="00476752"/>
    <w:rsid w:val="00476CD3"/>
    <w:rsid w:val="00477098"/>
    <w:rsid w:val="004813F3"/>
    <w:rsid w:val="00481D82"/>
    <w:rsid w:val="0048248A"/>
    <w:rsid w:val="00484983"/>
    <w:rsid w:val="00487FD5"/>
    <w:rsid w:val="004904DF"/>
    <w:rsid w:val="004908D7"/>
    <w:rsid w:val="00493174"/>
    <w:rsid w:val="0049459E"/>
    <w:rsid w:val="00495701"/>
    <w:rsid w:val="00496FB5"/>
    <w:rsid w:val="004A18D9"/>
    <w:rsid w:val="004A5913"/>
    <w:rsid w:val="004A6972"/>
    <w:rsid w:val="004A7F84"/>
    <w:rsid w:val="004B0E64"/>
    <w:rsid w:val="004B27DF"/>
    <w:rsid w:val="004B3323"/>
    <w:rsid w:val="004B4047"/>
    <w:rsid w:val="004B5D2B"/>
    <w:rsid w:val="004B7135"/>
    <w:rsid w:val="004C135C"/>
    <w:rsid w:val="004C17BC"/>
    <w:rsid w:val="004C6851"/>
    <w:rsid w:val="004D1004"/>
    <w:rsid w:val="004D3454"/>
    <w:rsid w:val="004E00E9"/>
    <w:rsid w:val="004E0540"/>
    <w:rsid w:val="004F0B88"/>
    <w:rsid w:val="004F24A1"/>
    <w:rsid w:val="00500D4D"/>
    <w:rsid w:val="005030C5"/>
    <w:rsid w:val="00504D27"/>
    <w:rsid w:val="0050593A"/>
    <w:rsid w:val="00505E54"/>
    <w:rsid w:val="005061F7"/>
    <w:rsid w:val="0051163F"/>
    <w:rsid w:val="00513983"/>
    <w:rsid w:val="00513F49"/>
    <w:rsid w:val="00514408"/>
    <w:rsid w:val="00514595"/>
    <w:rsid w:val="00515254"/>
    <w:rsid w:val="00515BE7"/>
    <w:rsid w:val="005200E0"/>
    <w:rsid w:val="00522026"/>
    <w:rsid w:val="00526C4C"/>
    <w:rsid w:val="0053143D"/>
    <w:rsid w:val="005318D4"/>
    <w:rsid w:val="00534E0C"/>
    <w:rsid w:val="00535083"/>
    <w:rsid w:val="00535D43"/>
    <w:rsid w:val="00536834"/>
    <w:rsid w:val="0053711A"/>
    <w:rsid w:val="00541E2F"/>
    <w:rsid w:val="0054672F"/>
    <w:rsid w:val="00550A94"/>
    <w:rsid w:val="00553304"/>
    <w:rsid w:val="0055465D"/>
    <w:rsid w:val="005550B8"/>
    <w:rsid w:val="005613C3"/>
    <w:rsid w:val="00561A9D"/>
    <w:rsid w:val="00562CF4"/>
    <w:rsid w:val="005632CB"/>
    <w:rsid w:val="00563B06"/>
    <w:rsid w:val="00574FA2"/>
    <w:rsid w:val="005752F4"/>
    <w:rsid w:val="005758FF"/>
    <w:rsid w:val="005778C9"/>
    <w:rsid w:val="00577D1B"/>
    <w:rsid w:val="00580294"/>
    <w:rsid w:val="00582282"/>
    <w:rsid w:val="0058248C"/>
    <w:rsid w:val="00584825"/>
    <w:rsid w:val="00584E8B"/>
    <w:rsid w:val="005857F2"/>
    <w:rsid w:val="00590429"/>
    <w:rsid w:val="005926BD"/>
    <w:rsid w:val="00595482"/>
    <w:rsid w:val="0059606C"/>
    <w:rsid w:val="00596CAD"/>
    <w:rsid w:val="0059742B"/>
    <w:rsid w:val="00597864"/>
    <w:rsid w:val="00597C86"/>
    <w:rsid w:val="00597E0A"/>
    <w:rsid w:val="005A0036"/>
    <w:rsid w:val="005A1A7E"/>
    <w:rsid w:val="005A29BC"/>
    <w:rsid w:val="005A62E2"/>
    <w:rsid w:val="005A71F3"/>
    <w:rsid w:val="005B011A"/>
    <w:rsid w:val="005B012B"/>
    <w:rsid w:val="005B2711"/>
    <w:rsid w:val="005B4D6D"/>
    <w:rsid w:val="005C4A8B"/>
    <w:rsid w:val="005C55C7"/>
    <w:rsid w:val="005C5FB3"/>
    <w:rsid w:val="005D13C4"/>
    <w:rsid w:val="005D304A"/>
    <w:rsid w:val="005E0B50"/>
    <w:rsid w:val="005E4E01"/>
    <w:rsid w:val="005E5999"/>
    <w:rsid w:val="005E5AF6"/>
    <w:rsid w:val="005E6A15"/>
    <w:rsid w:val="005E7AEC"/>
    <w:rsid w:val="005F0D0E"/>
    <w:rsid w:val="005F259A"/>
    <w:rsid w:val="005F33BF"/>
    <w:rsid w:val="00600E71"/>
    <w:rsid w:val="00602BB0"/>
    <w:rsid w:val="00604B39"/>
    <w:rsid w:val="0060758B"/>
    <w:rsid w:val="006148CC"/>
    <w:rsid w:val="00616CD9"/>
    <w:rsid w:val="00616E2E"/>
    <w:rsid w:val="00617B6B"/>
    <w:rsid w:val="00620D3C"/>
    <w:rsid w:val="00620FE2"/>
    <w:rsid w:val="00621EF1"/>
    <w:rsid w:val="00624BB1"/>
    <w:rsid w:val="00624FD6"/>
    <w:rsid w:val="006279D8"/>
    <w:rsid w:val="006324DA"/>
    <w:rsid w:val="00633BB1"/>
    <w:rsid w:val="00640889"/>
    <w:rsid w:val="00641C5F"/>
    <w:rsid w:val="0064484B"/>
    <w:rsid w:val="006514DC"/>
    <w:rsid w:val="00651E42"/>
    <w:rsid w:val="006616D5"/>
    <w:rsid w:val="00661CE9"/>
    <w:rsid w:val="00664D41"/>
    <w:rsid w:val="00664D77"/>
    <w:rsid w:val="00667FD6"/>
    <w:rsid w:val="00675B8B"/>
    <w:rsid w:val="0067719F"/>
    <w:rsid w:val="00677754"/>
    <w:rsid w:val="00677912"/>
    <w:rsid w:val="0068010B"/>
    <w:rsid w:val="0068041D"/>
    <w:rsid w:val="00681B86"/>
    <w:rsid w:val="00686F62"/>
    <w:rsid w:val="00690460"/>
    <w:rsid w:val="006919E9"/>
    <w:rsid w:val="006928D1"/>
    <w:rsid w:val="00695DD8"/>
    <w:rsid w:val="00697883"/>
    <w:rsid w:val="00697F4E"/>
    <w:rsid w:val="006A03EE"/>
    <w:rsid w:val="006A10E7"/>
    <w:rsid w:val="006A4289"/>
    <w:rsid w:val="006A5D12"/>
    <w:rsid w:val="006B0196"/>
    <w:rsid w:val="006B0B98"/>
    <w:rsid w:val="006B13B6"/>
    <w:rsid w:val="006B28BB"/>
    <w:rsid w:val="006B4F3F"/>
    <w:rsid w:val="006B708C"/>
    <w:rsid w:val="006B7803"/>
    <w:rsid w:val="006C1AB8"/>
    <w:rsid w:val="006C5741"/>
    <w:rsid w:val="006C675C"/>
    <w:rsid w:val="006C73F5"/>
    <w:rsid w:val="006D01C9"/>
    <w:rsid w:val="006D0F56"/>
    <w:rsid w:val="006D0FD0"/>
    <w:rsid w:val="006D4A4D"/>
    <w:rsid w:val="006E2345"/>
    <w:rsid w:val="006E2A9F"/>
    <w:rsid w:val="006E3218"/>
    <w:rsid w:val="006E497D"/>
    <w:rsid w:val="006E6274"/>
    <w:rsid w:val="006E7179"/>
    <w:rsid w:val="006F0464"/>
    <w:rsid w:val="006F1C62"/>
    <w:rsid w:val="006F1DD7"/>
    <w:rsid w:val="0070275A"/>
    <w:rsid w:val="00703D9A"/>
    <w:rsid w:val="00704FB5"/>
    <w:rsid w:val="007056CB"/>
    <w:rsid w:val="00712062"/>
    <w:rsid w:val="00713099"/>
    <w:rsid w:val="007135C1"/>
    <w:rsid w:val="00715C38"/>
    <w:rsid w:val="00720BC3"/>
    <w:rsid w:val="00721385"/>
    <w:rsid w:val="00722502"/>
    <w:rsid w:val="00724B54"/>
    <w:rsid w:val="00725763"/>
    <w:rsid w:val="00726736"/>
    <w:rsid w:val="007267E6"/>
    <w:rsid w:val="0072756F"/>
    <w:rsid w:val="00731C35"/>
    <w:rsid w:val="00731F40"/>
    <w:rsid w:val="0073236C"/>
    <w:rsid w:val="007331E3"/>
    <w:rsid w:val="00752A94"/>
    <w:rsid w:val="00752F04"/>
    <w:rsid w:val="0075474E"/>
    <w:rsid w:val="00756D65"/>
    <w:rsid w:val="00757B45"/>
    <w:rsid w:val="00760081"/>
    <w:rsid w:val="007602FC"/>
    <w:rsid w:val="0076412B"/>
    <w:rsid w:val="0076694B"/>
    <w:rsid w:val="007678A4"/>
    <w:rsid w:val="00770E10"/>
    <w:rsid w:val="00774257"/>
    <w:rsid w:val="00774B0E"/>
    <w:rsid w:val="00774CAF"/>
    <w:rsid w:val="0077792F"/>
    <w:rsid w:val="00780B70"/>
    <w:rsid w:val="00785CD4"/>
    <w:rsid w:val="00786F8B"/>
    <w:rsid w:val="00787761"/>
    <w:rsid w:val="007877F8"/>
    <w:rsid w:val="00790464"/>
    <w:rsid w:val="00791560"/>
    <w:rsid w:val="00792637"/>
    <w:rsid w:val="0079423E"/>
    <w:rsid w:val="007968D8"/>
    <w:rsid w:val="007974EA"/>
    <w:rsid w:val="007A194B"/>
    <w:rsid w:val="007A19F3"/>
    <w:rsid w:val="007A1FC3"/>
    <w:rsid w:val="007A3977"/>
    <w:rsid w:val="007A42F8"/>
    <w:rsid w:val="007A6C17"/>
    <w:rsid w:val="007B302C"/>
    <w:rsid w:val="007B5427"/>
    <w:rsid w:val="007B55A9"/>
    <w:rsid w:val="007C22B1"/>
    <w:rsid w:val="007C2365"/>
    <w:rsid w:val="007C3A79"/>
    <w:rsid w:val="007C3FCE"/>
    <w:rsid w:val="007C5637"/>
    <w:rsid w:val="007C6846"/>
    <w:rsid w:val="007C6A2B"/>
    <w:rsid w:val="007D08D3"/>
    <w:rsid w:val="007D5AFB"/>
    <w:rsid w:val="007D7B5B"/>
    <w:rsid w:val="007E0869"/>
    <w:rsid w:val="007E0D7F"/>
    <w:rsid w:val="007E1D6A"/>
    <w:rsid w:val="007E2E11"/>
    <w:rsid w:val="007E30F5"/>
    <w:rsid w:val="007E3BE6"/>
    <w:rsid w:val="007E5626"/>
    <w:rsid w:val="007E5CF8"/>
    <w:rsid w:val="007E6024"/>
    <w:rsid w:val="007E618A"/>
    <w:rsid w:val="007E7CEB"/>
    <w:rsid w:val="007F18DE"/>
    <w:rsid w:val="007F3E47"/>
    <w:rsid w:val="007F68EA"/>
    <w:rsid w:val="00800AAE"/>
    <w:rsid w:val="00802D3F"/>
    <w:rsid w:val="00803A1F"/>
    <w:rsid w:val="0080452D"/>
    <w:rsid w:val="008131AA"/>
    <w:rsid w:val="008142B6"/>
    <w:rsid w:val="0081499A"/>
    <w:rsid w:val="00814A0A"/>
    <w:rsid w:val="00817168"/>
    <w:rsid w:val="0082139C"/>
    <w:rsid w:val="00821A11"/>
    <w:rsid w:val="008222C7"/>
    <w:rsid w:val="00822AEE"/>
    <w:rsid w:val="00824D49"/>
    <w:rsid w:val="0082515B"/>
    <w:rsid w:val="0082787F"/>
    <w:rsid w:val="00831584"/>
    <w:rsid w:val="0083589E"/>
    <w:rsid w:val="00836A07"/>
    <w:rsid w:val="00841C42"/>
    <w:rsid w:val="0084288A"/>
    <w:rsid w:val="00843208"/>
    <w:rsid w:val="0085057A"/>
    <w:rsid w:val="00853300"/>
    <w:rsid w:val="00853628"/>
    <w:rsid w:val="0085417F"/>
    <w:rsid w:val="008557E4"/>
    <w:rsid w:val="00855A46"/>
    <w:rsid w:val="00861AD9"/>
    <w:rsid w:val="00863150"/>
    <w:rsid w:val="0086389D"/>
    <w:rsid w:val="008644A8"/>
    <w:rsid w:val="00865D9F"/>
    <w:rsid w:val="00867264"/>
    <w:rsid w:val="00873247"/>
    <w:rsid w:val="00873D15"/>
    <w:rsid w:val="00874FBB"/>
    <w:rsid w:val="00875B80"/>
    <w:rsid w:val="0088226A"/>
    <w:rsid w:val="00882B4A"/>
    <w:rsid w:val="00883DD1"/>
    <w:rsid w:val="0088660C"/>
    <w:rsid w:val="00886F8D"/>
    <w:rsid w:val="00887D88"/>
    <w:rsid w:val="008919B0"/>
    <w:rsid w:val="00892382"/>
    <w:rsid w:val="00892B4A"/>
    <w:rsid w:val="00893334"/>
    <w:rsid w:val="00893C36"/>
    <w:rsid w:val="00893EAE"/>
    <w:rsid w:val="008954E9"/>
    <w:rsid w:val="00896652"/>
    <w:rsid w:val="008A0096"/>
    <w:rsid w:val="008A4976"/>
    <w:rsid w:val="008A58D6"/>
    <w:rsid w:val="008A65DD"/>
    <w:rsid w:val="008B1DA4"/>
    <w:rsid w:val="008B30DC"/>
    <w:rsid w:val="008B33F1"/>
    <w:rsid w:val="008B3FE3"/>
    <w:rsid w:val="008B4110"/>
    <w:rsid w:val="008B5518"/>
    <w:rsid w:val="008B5862"/>
    <w:rsid w:val="008B5B23"/>
    <w:rsid w:val="008B67EB"/>
    <w:rsid w:val="008B7468"/>
    <w:rsid w:val="008C13E7"/>
    <w:rsid w:val="008C1DEE"/>
    <w:rsid w:val="008C6436"/>
    <w:rsid w:val="008D0768"/>
    <w:rsid w:val="008D445E"/>
    <w:rsid w:val="008D49B7"/>
    <w:rsid w:val="008D4BDC"/>
    <w:rsid w:val="008D4C54"/>
    <w:rsid w:val="008D5C20"/>
    <w:rsid w:val="008E2D25"/>
    <w:rsid w:val="008E3610"/>
    <w:rsid w:val="008E3B84"/>
    <w:rsid w:val="008F2423"/>
    <w:rsid w:val="008F7EFC"/>
    <w:rsid w:val="009007D3"/>
    <w:rsid w:val="00901930"/>
    <w:rsid w:val="009029DF"/>
    <w:rsid w:val="009108E2"/>
    <w:rsid w:val="009111EF"/>
    <w:rsid w:val="00915FE4"/>
    <w:rsid w:val="00916E29"/>
    <w:rsid w:val="0091721A"/>
    <w:rsid w:val="0091786E"/>
    <w:rsid w:val="00923395"/>
    <w:rsid w:val="00925A23"/>
    <w:rsid w:val="00930ADC"/>
    <w:rsid w:val="00930E6F"/>
    <w:rsid w:val="0093153F"/>
    <w:rsid w:val="00931715"/>
    <w:rsid w:val="00933676"/>
    <w:rsid w:val="00943DB7"/>
    <w:rsid w:val="00945148"/>
    <w:rsid w:val="00947406"/>
    <w:rsid w:val="00947747"/>
    <w:rsid w:val="009519E2"/>
    <w:rsid w:val="009529F8"/>
    <w:rsid w:val="00953A2D"/>
    <w:rsid w:val="00954305"/>
    <w:rsid w:val="00954779"/>
    <w:rsid w:val="00955720"/>
    <w:rsid w:val="009567CB"/>
    <w:rsid w:val="00960E00"/>
    <w:rsid w:val="0096135B"/>
    <w:rsid w:val="009622AE"/>
    <w:rsid w:val="00962F82"/>
    <w:rsid w:val="009649DE"/>
    <w:rsid w:val="0096585D"/>
    <w:rsid w:val="0096721C"/>
    <w:rsid w:val="00971660"/>
    <w:rsid w:val="00973AD1"/>
    <w:rsid w:val="00973B63"/>
    <w:rsid w:val="0097480F"/>
    <w:rsid w:val="00976634"/>
    <w:rsid w:val="00982EA3"/>
    <w:rsid w:val="00985183"/>
    <w:rsid w:val="00986BE3"/>
    <w:rsid w:val="00990D66"/>
    <w:rsid w:val="00996647"/>
    <w:rsid w:val="00996A0D"/>
    <w:rsid w:val="009A0050"/>
    <w:rsid w:val="009A0611"/>
    <w:rsid w:val="009A07DB"/>
    <w:rsid w:val="009A1DF8"/>
    <w:rsid w:val="009A4694"/>
    <w:rsid w:val="009A490F"/>
    <w:rsid w:val="009A6771"/>
    <w:rsid w:val="009A678C"/>
    <w:rsid w:val="009A7EC2"/>
    <w:rsid w:val="009A7F5A"/>
    <w:rsid w:val="009B0918"/>
    <w:rsid w:val="009B7ED4"/>
    <w:rsid w:val="009B7F7A"/>
    <w:rsid w:val="009C0B88"/>
    <w:rsid w:val="009C0EC2"/>
    <w:rsid w:val="009C0F25"/>
    <w:rsid w:val="009C0F66"/>
    <w:rsid w:val="009C603F"/>
    <w:rsid w:val="009C7CDF"/>
    <w:rsid w:val="009D1B93"/>
    <w:rsid w:val="009D4B6D"/>
    <w:rsid w:val="009D546E"/>
    <w:rsid w:val="009E0490"/>
    <w:rsid w:val="009E147F"/>
    <w:rsid w:val="009E1B4D"/>
    <w:rsid w:val="009E6677"/>
    <w:rsid w:val="009E6E01"/>
    <w:rsid w:val="009F77AA"/>
    <w:rsid w:val="00A012D9"/>
    <w:rsid w:val="00A01AC5"/>
    <w:rsid w:val="00A02052"/>
    <w:rsid w:val="00A0566F"/>
    <w:rsid w:val="00A10CEC"/>
    <w:rsid w:val="00A111E2"/>
    <w:rsid w:val="00A133D1"/>
    <w:rsid w:val="00A13E83"/>
    <w:rsid w:val="00A14F93"/>
    <w:rsid w:val="00A15EC6"/>
    <w:rsid w:val="00A17939"/>
    <w:rsid w:val="00A25A24"/>
    <w:rsid w:val="00A31D4E"/>
    <w:rsid w:val="00A32A98"/>
    <w:rsid w:val="00A33061"/>
    <w:rsid w:val="00A36547"/>
    <w:rsid w:val="00A372B2"/>
    <w:rsid w:val="00A42091"/>
    <w:rsid w:val="00A4633C"/>
    <w:rsid w:val="00A463C7"/>
    <w:rsid w:val="00A479CA"/>
    <w:rsid w:val="00A47E30"/>
    <w:rsid w:val="00A514A6"/>
    <w:rsid w:val="00A5153D"/>
    <w:rsid w:val="00A51557"/>
    <w:rsid w:val="00A51748"/>
    <w:rsid w:val="00A5247F"/>
    <w:rsid w:val="00A5272C"/>
    <w:rsid w:val="00A55239"/>
    <w:rsid w:val="00A552AA"/>
    <w:rsid w:val="00A55324"/>
    <w:rsid w:val="00A55818"/>
    <w:rsid w:val="00A565FD"/>
    <w:rsid w:val="00A604B3"/>
    <w:rsid w:val="00A61F18"/>
    <w:rsid w:val="00A6335F"/>
    <w:rsid w:val="00A63440"/>
    <w:rsid w:val="00A66457"/>
    <w:rsid w:val="00A713AB"/>
    <w:rsid w:val="00A7144F"/>
    <w:rsid w:val="00A72C14"/>
    <w:rsid w:val="00A76A99"/>
    <w:rsid w:val="00A77C47"/>
    <w:rsid w:val="00A80F6C"/>
    <w:rsid w:val="00A83B3E"/>
    <w:rsid w:val="00A8420C"/>
    <w:rsid w:val="00A87C22"/>
    <w:rsid w:val="00A940AA"/>
    <w:rsid w:val="00AA015A"/>
    <w:rsid w:val="00AA0823"/>
    <w:rsid w:val="00AA463A"/>
    <w:rsid w:val="00AA6590"/>
    <w:rsid w:val="00AB05E2"/>
    <w:rsid w:val="00AB253A"/>
    <w:rsid w:val="00AB2B20"/>
    <w:rsid w:val="00AB3052"/>
    <w:rsid w:val="00AB4981"/>
    <w:rsid w:val="00AB54F3"/>
    <w:rsid w:val="00AC1E90"/>
    <w:rsid w:val="00AC2A39"/>
    <w:rsid w:val="00AC2F5C"/>
    <w:rsid w:val="00AC37FD"/>
    <w:rsid w:val="00AC44A3"/>
    <w:rsid w:val="00AC5DF4"/>
    <w:rsid w:val="00AD5176"/>
    <w:rsid w:val="00AD5EC5"/>
    <w:rsid w:val="00AD6202"/>
    <w:rsid w:val="00AE1640"/>
    <w:rsid w:val="00AE5198"/>
    <w:rsid w:val="00AE534E"/>
    <w:rsid w:val="00AE727B"/>
    <w:rsid w:val="00AF114B"/>
    <w:rsid w:val="00AF4BDC"/>
    <w:rsid w:val="00AF6000"/>
    <w:rsid w:val="00AF79D0"/>
    <w:rsid w:val="00B005EF"/>
    <w:rsid w:val="00B00A7B"/>
    <w:rsid w:val="00B06A68"/>
    <w:rsid w:val="00B07212"/>
    <w:rsid w:val="00B104BC"/>
    <w:rsid w:val="00B12E29"/>
    <w:rsid w:val="00B20E38"/>
    <w:rsid w:val="00B21614"/>
    <w:rsid w:val="00B26F39"/>
    <w:rsid w:val="00B30EA4"/>
    <w:rsid w:val="00B31562"/>
    <w:rsid w:val="00B32D46"/>
    <w:rsid w:val="00B3494D"/>
    <w:rsid w:val="00B416F8"/>
    <w:rsid w:val="00B45ABA"/>
    <w:rsid w:val="00B502A1"/>
    <w:rsid w:val="00B51926"/>
    <w:rsid w:val="00B52673"/>
    <w:rsid w:val="00B53ED9"/>
    <w:rsid w:val="00B54DB9"/>
    <w:rsid w:val="00B5659B"/>
    <w:rsid w:val="00B57339"/>
    <w:rsid w:val="00B57A78"/>
    <w:rsid w:val="00B60CC4"/>
    <w:rsid w:val="00B62287"/>
    <w:rsid w:val="00B62F5F"/>
    <w:rsid w:val="00B63377"/>
    <w:rsid w:val="00B63531"/>
    <w:rsid w:val="00B648DD"/>
    <w:rsid w:val="00B731E4"/>
    <w:rsid w:val="00B7638A"/>
    <w:rsid w:val="00B763F3"/>
    <w:rsid w:val="00B852CA"/>
    <w:rsid w:val="00B85D14"/>
    <w:rsid w:val="00B8755B"/>
    <w:rsid w:val="00B91EDE"/>
    <w:rsid w:val="00B926FD"/>
    <w:rsid w:val="00B92AEC"/>
    <w:rsid w:val="00BA321E"/>
    <w:rsid w:val="00BA35A3"/>
    <w:rsid w:val="00BA5F68"/>
    <w:rsid w:val="00BA62E6"/>
    <w:rsid w:val="00BA6869"/>
    <w:rsid w:val="00BB0F7B"/>
    <w:rsid w:val="00BB2363"/>
    <w:rsid w:val="00BB4FC6"/>
    <w:rsid w:val="00BC4C86"/>
    <w:rsid w:val="00BD1BA4"/>
    <w:rsid w:val="00BD3E56"/>
    <w:rsid w:val="00BD4008"/>
    <w:rsid w:val="00BD5474"/>
    <w:rsid w:val="00BD7AF9"/>
    <w:rsid w:val="00BD7FCB"/>
    <w:rsid w:val="00BE0AE1"/>
    <w:rsid w:val="00BE1666"/>
    <w:rsid w:val="00BE19AD"/>
    <w:rsid w:val="00BE3C5F"/>
    <w:rsid w:val="00BE40E7"/>
    <w:rsid w:val="00BE6C9F"/>
    <w:rsid w:val="00BF00A9"/>
    <w:rsid w:val="00BF3373"/>
    <w:rsid w:val="00BF3B2D"/>
    <w:rsid w:val="00BF3F25"/>
    <w:rsid w:val="00BF521D"/>
    <w:rsid w:val="00BF5B74"/>
    <w:rsid w:val="00BF674E"/>
    <w:rsid w:val="00BF70B8"/>
    <w:rsid w:val="00BF78FB"/>
    <w:rsid w:val="00C028D6"/>
    <w:rsid w:val="00C02EA7"/>
    <w:rsid w:val="00C05039"/>
    <w:rsid w:val="00C05CC8"/>
    <w:rsid w:val="00C05FE8"/>
    <w:rsid w:val="00C11872"/>
    <w:rsid w:val="00C11A97"/>
    <w:rsid w:val="00C1325F"/>
    <w:rsid w:val="00C13B69"/>
    <w:rsid w:val="00C15B37"/>
    <w:rsid w:val="00C26299"/>
    <w:rsid w:val="00C276A6"/>
    <w:rsid w:val="00C30D92"/>
    <w:rsid w:val="00C31532"/>
    <w:rsid w:val="00C36417"/>
    <w:rsid w:val="00C3658A"/>
    <w:rsid w:val="00C36F39"/>
    <w:rsid w:val="00C40C9B"/>
    <w:rsid w:val="00C40E12"/>
    <w:rsid w:val="00C42254"/>
    <w:rsid w:val="00C45ED8"/>
    <w:rsid w:val="00C500D3"/>
    <w:rsid w:val="00C504BF"/>
    <w:rsid w:val="00C54712"/>
    <w:rsid w:val="00C54F2F"/>
    <w:rsid w:val="00C550DC"/>
    <w:rsid w:val="00C607ED"/>
    <w:rsid w:val="00C62B92"/>
    <w:rsid w:val="00C62C56"/>
    <w:rsid w:val="00C63239"/>
    <w:rsid w:val="00C65E7B"/>
    <w:rsid w:val="00C66241"/>
    <w:rsid w:val="00C6714E"/>
    <w:rsid w:val="00C67244"/>
    <w:rsid w:val="00C70ECB"/>
    <w:rsid w:val="00C75E6E"/>
    <w:rsid w:val="00C82FE5"/>
    <w:rsid w:val="00C83CEF"/>
    <w:rsid w:val="00C85B93"/>
    <w:rsid w:val="00C863BF"/>
    <w:rsid w:val="00C87EF1"/>
    <w:rsid w:val="00C91D6B"/>
    <w:rsid w:val="00C92C93"/>
    <w:rsid w:val="00C96495"/>
    <w:rsid w:val="00C975F1"/>
    <w:rsid w:val="00CA1056"/>
    <w:rsid w:val="00CA2596"/>
    <w:rsid w:val="00CA33E5"/>
    <w:rsid w:val="00CA4D59"/>
    <w:rsid w:val="00CA52C0"/>
    <w:rsid w:val="00CA7C41"/>
    <w:rsid w:val="00CB1050"/>
    <w:rsid w:val="00CB22AB"/>
    <w:rsid w:val="00CB2CA3"/>
    <w:rsid w:val="00CC02AC"/>
    <w:rsid w:val="00CC06F0"/>
    <w:rsid w:val="00CC4EAA"/>
    <w:rsid w:val="00CC56F6"/>
    <w:rsid w:val="00CD00DA"/>
    <w:rsid w:val="00CD3FA3"/>
    <w:rsid w:val="00CD4131"/>
    <w:rsid w:val="00CD4955"/>
    <w:rsid w:val="00CD5751"/>
    <w:rsid w:val="00CD75B0"/>
    <w:rsid w:val="00CE0185"/>
    <w:rsid w:val="00CE041C"/>
    <w:rsid w:val="00CE3794"/>
    <w:rsid w:val="00CE4813"/>
    <w:rsid w:val="00CE4928"/>
    <w:rsid w:val="00CF0D2E"/>
    <w:rsid w:val="00CF0DE0"/>
    <w:rsid w:val="00CF4440"/>
    <w:rsid w:val="00CF571D"/>
    <w:rsid w:val="00CF68F2"/>
    <w:rsid w:val="00CF7460"/>
    <w:rsid w:val="00D01DE8"/>
    <w:rsid w:val="00D055C9"/>
    <w:rsid w:val="00D06D10"/>
    <w:rsid w:val="00D077B3"/>
    <w:rsid w:val="00D115F1"/>
    <w:rsid w:val="00D11687"/>
    <w:rsid w:val="00D213C1"/>
    <w:rsid w:val="00D21DF5"/>
    <w:rsid w:val="00D2214F"/>
    <w:rsid w:val="00D26C3A"/>
    <w:rsid w:val="00D26D29"/>
    <w:rsid w:val="00D30A65"/>
    <w:rsid w:val="00D315A5"/>
    <w:rsid w:val="00D333B4"/>
    <w:rsid w:val="00D34425"/>
    <w:rsid w:val="00D4400C"/>
    <w:rsid w:val="00D45B00"/>
    <w:rsid w:val="00D463AF"/>
    <w:rsid w:val="00D46715"/>
    <w:rsid w:val="00D472C5"/>
    <w:rsid w:val="00D47A63"/>
    <w:rsid w:val="00D5028E"/>
    <w:rsid w:val="00D54B64"/>
    <w:rsid w:val="00D5577B"/>
    <w:rsid w:val="00D557D9"/>
    <w:rsid w:val="00D64853"/>
    <w:rsid w:val="00D64CA2"/>
    <w:rsid w:val="00D660DF"/>
    <w:rsid w:val="00D67714"/>
    <w:rsid w:val="00D75835"/>
    <w:rsid w:val="00D775F0"/>
    <w:rsid w:val="00D83712"/>
    <w:rsid w:val="00D861B9"/>
    <w:rsid w:val="00D94520"/>
    <w:rsid w:val="00D94C6D"/>
    <w:rsid w:val="00D95ADD"/>
    <w:rsid w:val="00D976E7"/>
    <w:rsid w:val="00DA0680"/>
    <w:rsid w:val="00DA3304"/>
    <w:rsid w:val="00DA4D0B"/>
    <w:rsid w:val="00DA6777"/>
    <w:rsid w:val="00DB11EE"/>
    <w:rsid w:val="00DB1991"/>
    <w:rsid w:val="00DB5E68"/>
    <w:rsid w:val="00DD1D99"/>
    <w:rsid w:val="00DD2B1A"/>
    <w:rsid w:val="00DD3001"/>
    <w:rsid w:val="00DD415A"/>
    <w:rsid w:val="00DD4C4C"/>
    <w:rsid w:val="00DD6685"/>
    <w:rsid w:val="00DD724B"/>
    <w:rsid w:val="00DE0C36"/>
    <w:rsid w:val="00DE5EC0"/>
    <w:rsid w:val="00DF2E32"/>
    <w:rsid w:val="00DF789A"/>
    <w:rsid w:val="00E00147"/>
    <w:rsid w:val="00E01749"/>
    <w:rsid w:val="00E03676"/>
    <w:rsid w:val="00E0377F"/>
    <w:rsid w:val="00E057CF"/>
    <w:rsid w:val="00E05DA5"/>
    <w:rsid w:val="00E12962"/>
    <w:rsid w:val="00E2011A"/>
    <w:rsid w:val="00E20420"/>
    <w:rsid w:val="00E212BE"/>
    <w:rsid w:val="00E225A0"/>
    <w:rsid w:val="00E2433E"/>
    <w:rsid w:val="00E26308"/>
    <w:rsid w:val="00E26C0C"/>
    <w:rsid w:val="00E30365"/>
    <w:rsid w:val="00E3132C"/>
    <w:rsid w:val="00E33943"/>
    <w:rsid w:val="00E33B02"/>
    <w:rsid w:val="00E3637B"/>
    <w:rsid w:val="00E36584"/>
    <w:rsid w:val="00E36E1B"/>
    <w:rsid w:val="00E408E6"/>
    <w:rsid w:val="00E41198"/>
    <w:rsid w:val="00E41EC5"/>
    <w:rsid w:val="00E433C7"/>
    <w:rsid w:val="00E450F0"/>
    <w:rsid w:val="00E462E0"/>
    <w:rsid w:val="00E47606"/>
    <w:rsid w:val="00E47E0D"/>
    <w:rsid w:val="00E53F8A"/>
    <w:rsid w:val="00E558AB"/>
    <w:rsid w:val="00E55BEB"/>
    <w:rsid w:val="00E57964"/>
    <w:rsid w:val="00E60F39"/>
    <w:rsid w:val="00E61A96"/>
    <w:rsid w:val="00E643F7"/>
    <w:rsid w:val="00E66EB1"/>
    <w:rsid w:val="00E70CF6"/>
    <w:rsid w:val="00E71BB9"/>
    <w:rsid w:val="00E73E35"/>
    <w:rsid w:val="00E758DE"/>
    <w:rsid w:val="00E85429"/>
    <w:rsid w:val="00E85F16"/>
    <w:rsid w:val="00E867A2"/>
    <w:rsid w:val="00E873D8"/>
    <w:rsid w:val="00E9042C"/>
    <w:rsid w:val="00E93E54"/>
    <w:rsid w:val="00E96CC7"/>
    <w:rsid w:val="00E9774D"/>
    <w:rsid w:val="00EB09F9"/>
    <w:rsid w:val="00EB45CE"/>
    <w:rsid w:val="00EB7CDC"/>
    <w:rsid w:val="00EC07A5"/>
    <w:rsid w:val="00EC5606"/>
    <w:rsid w:val="00EC6199"/>
    <w:rsid w:val="00ED5233"/>
    <w:rsid w:val="00EE0256"/>
    <w:rsid w:val="00EE0784"/>
    <w:rsid w:val="00EE2C29"/>
    <w:rsid w:val="00EE35EC"/>
    <w:rsid w:val="00EE52A2"/>
    <w:rsid w:val="00EE5B1D"/>
    <w:rsid w:val="00EE5DCE"/>
    <w:rsid w:val="00EE7F85"/>
    <w:rsid w:val="00EF2C30"/>
    <w:rsid w:val="00EF301D"/>
    <w:rsid w:val="00EF3856"/>
    <w:rsid w:val="00EF3F4D"/>
    <w:rsid w:val="00EF4607"/>
    <w:rsid w:val="00EF4CA5"/>
    <w:rsid w:val="00EF4DFA"/>
    <w:rsid w:val="00EF52AD"/>
    <w:rsid w:val="00EF54A6"/>
    <w:rsid w:val="00EF5FC8"/>
    <w:rsid w:val="00F00CB9"/>
    <w:rsid w:val="00F025FE"/>
    <w:rsid w:val="00F03EF4"/>
    <w:rsid w:val="00F118C5"/>
    <w:rsid w:val="00F139EC"/>
    <w:rsid w:val="00F14635"/>
    <w:rsid w:val="00F20154"/>
    <w:rsid w:val="00F203AC"/>
    <w:rsid w:val="00F215C8"/>
    <w:rsid w:val="00F22DED"/>
    <w:rsid w:val="00F23ACE"/>
    <w:rsid w:val="00F244F9"/>
    <w:rsid w:val="00F24818"/>
    <w:rsid w:val="00F25013"/>
    <w:rsid w:val="00F33051"/>
    <w:rsid w:val="00F33790"/>
    <w:rsid w:val="00F3399C"/>
    <w:rsid w:val="00F36B8F"/>
    <w:rsid w:val="00F4427D"/>
    <w:rsid w:val="00F4541F"/>
    <w:rsid w:val="00F45A30"/>
    <w:rsid w:val="00F4626B"/>
    <w:rsid w:val="00F47793"/>
    <w:rsid w:val="00F52159"/>
    <w:rsid w:val="00F52700"/>
    <w:rsid w:val="00F52B57"/>
    <w:rsid w:val="00F6250A"/>
    <w:rsid w:val="00F63CC8"/>
    <w:rsid w:val="00F67A94"/>
    <w:rsid w:val="00F707B5"/>
    <w:rsid w:val="00F74484"/>
    <w:rsid w:val="00F76862"/>
    <w:rsid w:val="00F82228"/>
    <w:rsid w:val="00F825A6"/>
    <w:rsid w:val="00F84471"/>
    <w:rsid w:val="00F93938"/>
    <w:rsid w:val="00F97939"/>
    <w:rsid w:val="00FA24A2"/>
    <w:rsid w:val="00FA2C1C"/>
    <w:rsid w:val="00FA6CAC"/>
    <w:rsid w:val="00FA6D21"/>
    <w:rsid w:val="00FA7CAB"/>
    <w:rsid w:val="00FB0442"/>
    <w:rsid w:val="00FB0C03"/>
    <w:rsid w:val="00FB0CA3"/>
    <w:rsid w:val="00FB0EA8"/>
    <w:rsid w:val="00FB1D6D"/>
    <w:rsid w:val="00FC3801"/>
    <w:rsid w:val="00FD1097"/>
    <w:rsid w:val="00FD2D76"/>
    <w:rsid w:val="00FD31B9"/>
    <w:rsid w:val="00FE358C"/>
    <w:rsid w:val="00FE3A2A"/>
    <w:rsid w:val="00FE41C7"/>
    <w:rsid w:val="00FE5218"/>
    <w:rsid w:val="00FF18E7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FC3B0"/>
  <w15:docId w15:val="{DC3100CE-7315-4295-B641-E238BC94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0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F17AB"/>
    <w:pPr>
      <w:keepNext/>
      <w:keepLines/>
      <w:spacing w:before="240" w:after="46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7AB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3061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5239"/>
    <w:pPr>
      <w:keepNext/>
      <w:keepLines/>
      <w:spacing w:before="40"/>
      <w:outlineLvl w:val="3"/>
    </w:pPr>
    <w:rPr>
      <w:rFonts w:eastAsiaTheme="majorEastAsia" w:cstheme="majorBidi"/>
      <w:b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7AB"/>
    <w:rPr>
      <w:rFonts w:ascii="Times New Roman" w:eastAsiaTheme="majorEastAsia" w:hAnsi="Times New Roman" w:cstheme="majorBidi"/>
      <w:b/>
      <w:sz w:val="28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573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7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7602FC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542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54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542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519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19E2"/>
  </w:style>
  <w:style w:type="paragraph" w:styleId="Pieddepage">
    <w:name w:val="footer"/>
    <w:basedOn w:val="Normal"/>
    <w:link w:val="PieddepageCar"/>
    <w:uiPriority w:val="99"/>
    <w:unhideWhenUsed/>
    <w:rsid w:val="009519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9E2"/>
  </w:style>
  <w:style w:type="character" w:customStyle="1" w:styleId="Titre2Car">
    <w:name w:val="Titre 2 Car"/>
    <w:basedOn w:val="Policepardfaut"/>
    <w:link w:val="Titre2"/>
    <w:uiPriority w:val="9"/>
    <w:rsid w:val="002F17A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051604"/>
    <w:rPr>
      <w:rFonts w:ascii="Times New Roman" w:hAnsi="Times New Roman"/>
    </w:rPr>
  </w:style>
  <w:style w:type="paragraph" w:styleId="Sansinterligne">
    <w:name w:val="No Spacing"/>
    <w:link w:val="SansinterligneCar"/>
    <w:uiPriority w:val="1"/>
    <w:qFormat/>
    <w:rsid w:val="00051604"/>
    <w:pPr>
      <w:spacing w:after="0" w:line="240" w:lineRule="auto"/>
    </w:pPr>
    <w:rPr>
      <w:rFonts w:ascii="Times New Roman" w:hAnsi="Times New Roman"/>
    </w:rPr>
  </w:style>
  <w:style w:type="table" w:customStyle="1" w:styleId="Tableausimple51">
    <w:name w:val="Tableau simple 51"/>
    <w:basedOn w:val="TableauNormal"/>
    <w:uiPriority w:val="45"/>
    <w:rsid w:val="00E60F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36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8C13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2D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D7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5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B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B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B8B"/>
    <w:rPr>
      <w:b/>
      <w:bCs/>
      <w:sz w:val="20"/>
      <w:szCs w:val="20"/>
    </w:rPr>
  </w:style>
  <w:style w:type="paragraph" w:styleId="Bibliographie">
    <w:name w:val="Bibliography"/>
    <w:basedOn w:val="Normal"/>
    <w:next w:val="Normal"/>
    <w:uiPriority w:val="37"/>
    <w:unhideWhenUsed/>
    <w:rsid w:val="00893EAE"/>
    <w:pPr>
      <w:ind w:left="720" w:hanging="720"/>
    </w:pPr>
  </w:style>
  <w:style w:type="character" w:customStyle="1" w:styleId="Titre3Car">
    <w:name w:val="Titre 3 Car"/>
    <w:basedOn w:val="Policepardfaut"/>
    <w:link w:val="Titre3"/>
    <w:uiPriority w:val="9"/>
    <w:rsid w:val="00A33061"/>
    <w:rPr>
      <w:rFonts w:ascii="Times New Roman" w:eastAsiaTheme="majorEastAsia" w:hAnsi="Times New Roman" w:cstheme="majorBidi"/>
      <w:b/>
      <w:sz w:val="24"/>
      <w:szCs w:val="24"/>
    </w:rPr>
  </w:style>
  <w:style w:type="paragraph" w:styleId="Rvision">
    <w:name w:val="Revision"/>
    <w:hidden/>
    <w:uiPriority w:val="99"/>
    <w:semiHidden/>
    <w:rsid w:val="00D75835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843208"/>
    <w:rPr>
      <w:color w:val="0000FF"/>
      <w:u w:val="single"/>
    </w:rPr>
  </w:style>
  <w:style w:type="paragraph" w:customStyle="1" w:styleId="Commentaire1">
    <w:name w:val="Commentaire1"/>
    <w:basedOn w:val="Normal"/>
    <w:next w:val="Commentaire"/>
    <w:uiPriority w:val="99"/>
    <w:semiHidden/>
    <w:unhideWhenUsed/>
    <w:rsid w:val="0046786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39EC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A55239"/>
    <w:rPr>
      <w:rFonts w:ascii="Times New Roman" w:eastAsiaTheme="majorEastAsia" w:hAnsi="Times New Roman" w:cstheme="majorBidi"/>
      <w:b/>
      <w:i/>
      <w:iCs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1604"/>
    <w:pPr>
      <w:spacing w:before="120" w:after="240"/>
    </w:pPr>
    <w:rPr>
      <w:sz w:val="20"/>
      <w:szCs w:val="2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051604"/>
    <w:rPr>
      <w:rFonts w:ascii="Times New Roman" w:hAnsi="Times New Roman"/>
      <w:sz w:val="20"/>
      <w:szCs w:val="20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62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D258-C05E-4570-A20F-6B6635CA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1315</Words>
  <Characters>7237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INRA UMR AGIR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Allain</dc:creator>
  <cp:lastModifiedBy>Sandrine Allain</cp:lastModifiedBy>
  <cp:revision>4</cp:revision>
  <cp:lastPrinted>2017-08-10T15:15:00Z</cp:lastPrinted>
  <dcterms:created xsi:type="dcterms:W3CDTF">2018-02-17T19:10:00Z</dcterms:created>
  <dcterms:modified xsi:type="dcterms:W3CDTF">2018-02-18T15:57:00Z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zotero-version="4.0.29.21"&gt;&lt;session id="U50RjpGW"/&gt;&lt;style id="http://www.zotero.org/styles/land-use-policy"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value=""/&gt;&lt;/prefs&gt;&lt;/data&gt;</vt:lpwstr>
  </property>
</Properties>
</file>