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3E8" w:rsidRDefault="009D63E8" w:rsidP="00223173">
      <w:pPr>
        <w:pStyle w:val="titredelarticle"/>
      </w:pPr>
      <w:r w:rsidRPr="00250069">
        <w:t xml:space="preserve">Conception d’un système de contrôle </w:t>
      </w:r>
      <w:r>
        <w:t>de la dynamique hydrique d’échantillons de sol couplé à la mesure des émissions de protoxyde d’azote</w:t>
      </w:r>
    </w:p>
    <w:p w:rsidR="00412645" w:rsidRPr="00412645" w:rsidRDefault="00412645" w:rsidP="00412645">
      <w:pPr>
        <w:jc w:val="center"/>
        <w:rPr>
          <w:rFonts w:ascii="Arial Narrow" w:hAnsi="Arial Narrow"/>
          <w:b/>
          <w:color w:val="76923C" w:themeColor="accent3" w:themeShade="BF"/>
          <w:sz w:val="28"/>
          <w:szCs w:val="28"/>
          <w:lang w:val="en-US"/>
        </w:rPr>
      </w:pPr>
      <w:r w:rsidRPr="00412645">
        <w:rPr>
          <w:rFonts w:ascii="Arial Narrow" w:hAnsi="Arial Narrow"/>
          <w:b/>
          <w:color w:val="76923C" w:themeColor="accent3" w:themeShade="BF"/>
          <w:sz w:val="28"/>
          <w:szCs w:val="28"/>
          <w:lang w:val="en-US"/>
        </w:rPr>
        <w:t xml:space="preserve">Eva </w:t>
      </w:r>
      <w:proofErr w:type="spellStart"/>
      <w:r w:rsidRPr="00412645">
        <w:rPr>
          <w:rFonts w:ascii="Arial Narrow" w:hAnsi="Arial Narrow"/>
          <w:b/>
          <w:color w:val="76923C" w:themeColor="accent3" w:themeShade="BF"/>
          <w:sz w:val="28"/>
          <w:szCs w:val="28"/>
          <w:lang w:val="en-US"/>
        </w:rPr>
        <w:t>Rabot</w:t>
      </w:r>
      <w:proofErr w:type="spellEnd"/>
      <w:r>
        <w:rPr>
          <w:rStyle w:val="Appelnotedebasdep"/>
          <w:rFonts w:ascii="Arial Narrow" w:hAnsi="Arial Narrow"/>
          <w:b/>
          <w:color w:val="76923C" w:themeColor="accent3" w:themeShade="BF"/>
          <w:sz w:val="28"/>
          <w:szCs w:val="28"/>
          <w:lang w:val="en-US"/>
        </w:rPr>
        <w:footnoteReference w:id="1"/>
      </w:r>
      <w:r w:rsidRPr="00412645">
        <w:rPr>
          <w:rFonts w:ascii="Arial Narrow" w:hAnsi="Arial Narrow"/>
          <w:b/>
          <w:color w:val="76923C" w:themeColor="accent3" w:themeShade="BF"/>
          <w:sz w:val="28"/>
          <w:szCs w:val="28"/>
          <w:lang w:val="en-US"/>
        </w:rPr>
        <w:t>, Guillaume Giot</w:t>
      </w:r>
      <w:r w:rsidRPr="00412645">
        <w:rPr>
          <w:rFonts w:ascii="Arial Narrow" w:hAnsi="Arial Narrow"/>
          <w:b/>
          <w:color w:val="76923C" w:themeColor="accent3" w:themeShade="BF"/>
          <w:sz w:val="28"/>
          <w:szCs w:val="28"/>
          <w:vertAlign w:val="superscript"/>
          <w:lang w:val="en-US"/>
        </w:rPr>
        <w:t>1</w:t>
      </w:r>
      <w:r w:rsidRPr="00412645">
        <w:rPr>
          <w:rFonts w:ascii="Arial Narrow" w:hAnsi="Arial Narrow"/>
          <w:b/>
          <w:color w:val="76923C" w:themeColor="accent3" w:themeShade="BF"/>
          <w:sz w:val="28"/>
          <w:szCs w:val="28"/>
          <w:lang w:val="en-US"/>
        </w:rPr>
        <w:t>, David Colosse</w:t>
      </w:r>
      <w:r w:rsidRPr="00412645">
        <w:rPr>
          <w:rFonts w:ascii="Arial Narrow" w:hAnsi="Arial Narrow"/>
          <w:b/>
          <w:color w:val="76923C" w:themeColor="accent3" w:themeShade="BF"/>
          <w:sz w:val="28"/>
          <w:szCs w:val="28"/>
          <w:vertAlign w:val="superscript"/>
          <w:lang w:val="en-US"/>
        </w:rPr>
        <w:t>1</w:t>
      </w:r>
      <w:r w:rsidR="00130ECE">
        <w:rPr>
          <w:rStyle w:val="Appelnotedebasdep"/>
          <w:rFonts w:ascii="Arial Narrow" w:hAnsi="Arial Narrow"/>
          <w:b/>
          <w:color w:val="76923C" w:themeColor="accent3" w:themeShade="BF"/>
          <w:sz w:val="28"/>
          <w:szCs w:val="28"/>
          <w:lang w:val="en-US"/>
        </w:rPr>
        <w:footnoteReference w:id="2"/>
      </w:r>
      <w:r w:rsidRPr="00412645">
        <w:rPr>
          <w:rFonts w:ascii="Arial Narrow" w:hAnsi="Arial Narrow"/>
          <w:b/>
          <w:color w:val="76923C" w:themeColor="accent3" w:themeShade="BF"/>
          <w:sz w:val="28"/>
          <w:szCs w:val="28"/>
          <w:lang w:val="en-US"/>
        </w:rPr>
        <w:t>, Isabelle Cousin</w:t>
      </w:r>
      <w:r w:rsidRPr="00412645">
        <w:rPr>
          <w:rFonts w:ascii="Arial Narrow" w:hAnsi="Arial Narrow"/>
          <w:b/>
          <w:color w:val="76923C" w:themeColor="accent3" w:themeShade="BF"/>
          <w:sz w:val="28"/>
          <w:szCs w:val="28"/>
          <w:vertAlign w:val="superscript"/>
          <w:lang w:val="en-US"/>
        </w:rPr>
        <w:t>1</w:t>
      </w:r>
    </w:p>
    <w:p w:rsidR="00853C63" w:rsidRPr="00412645" w:rsidRDefault="00853C63" w:rsidP="00853C63">
      <w:pPr>
        <w:rPr>
          <w:lang w:val="en-US"/>
        </w:rPr>
      </w:pPr>
    </w:p>
    <w:p w:rsidR="009D63E8" w:rsidRPr="00412645" w:rsidRDefault="009D63E8" w:rsidP="00223173">
      <w:pPr>
        <w:pStyle w:val="titrersummotscls"/>
        <w:rPr>
          <w:lang w:val="en-US"/>
        </w:rPr>
      </w:pPr>
    </w:p>
    <w:p w:rsidR="009D63E8" w:rsidRPr="00BA6059" w:rsidRDefault="009D63E8" w:rsidP="00223173">
      <w:pPr>
        <w:pStyle w:val="texte"/>
        <w:rPr>
          <w:rFonts w:cs="Arial"/>
          <w:sz w:val="20"/>
          <w:szCs w:val="20"/>
        </w:rPr>
      </w:pPr>
      <w:r w:rsidRPr="00BA6059">
        <w:rPr>
          <w:rStyle w:val="titrersummotsclsCar"/>
          <w:sz w:val="20"/>
          <w:szCs w:val="20"/>
        </w:rPr>
        <w:t>Résumé.</w:t>
      </w:r>
      <w:r w:rsidRPr="00BA6059">
        <w:rPr>
          <w:sz w:val="20"/>
          <w:szCs w:val="20"/>
        </w:rPr>
        <w:t xml:space="preserve">    </w:t>
      </w:r>
      <w:r w:rsidRPr="00BA6059">
        <w:rPr>
          <w:rFonts w:cs="Arial"/>
          <w:sz w:val="20"/>
          <w:szCs w:val="20"/>
        </w:rPr>
        <w:t>Les émissions par les sols du protoxyde d’azote (N</w:t>
      </w:r>
      <w:r w:rsidRPr="00BA6059">
        <w:rPr>
          <w:rFonts w:cs="Arial"/>
          <w:sz w:val="20"/>
          <w:szCs w:val="20"/>
          <w:vertAlign w:val="subscript"/>
        </w:rPr>
        <w:t>2</w:t>
      </w:r>
      <w:r w:rsidRPr="00BA6059">
        <w:rPr>
          <w:rFonts w:cs="Arial"/>
          <w:sz w:val="20"/>
          <w:szCs w:val="20"/>
        </w:rPr>
        <w:t xml:space="preserve">O), un gaz à effet de serre, sont en particulier déterminées par les caractéristiques hydriques des sols. Dans cet article, </w:t>
      </w:r>
      <w:r w:rsidR="001051E2" w:rsidRPr="00BA6059">
        <w:rPr>
          <w:rFonts w:cs="Arial"/>
          <w:sz w:val="20"/>
          <w:szCs w:val="20"/>
        </w:rPr>
        <w:t xml:space="preserve">nous présenterons </w:t>
      </w:r>
      <w:r w:rsidRPr="00BA6059">
        <w:rPr>
          <w:rFonts w:cs="Arial"/>
          <w:sz w:val="20"/>
          <w:szCs w:val="20"/>
        </w:rPr>
        <w:t>la conception d’un système de contrôle de la dynamique hydrique de saturation et de désaturation d’échantillons de sol</w:t>
      </w:r>
      <w:r w:rsidR="00913C36" w:rsidRPr="00BA6059">
        <w:rPr>
          <w:rFonts w:cs="Arial"/>
          <w:sz w:val="20"/>
          <w:szCs w:val="20"/>
        </w:rPr>
        <w:t xml:space="preserve"> de grande taille</w:t>
      </w:r>
      <w:r w:rsidRPr="00BA6059">
        <w:rPr>
          <w:rFonts w:cs="Arial"/>
          <w:sz w:val="20"/>
          <w:szCs w:val="20"/>
        </w:rPr>
        <w:t>. Il est couplé à un système de mesure des émissions de N</w:t>
      </w:r>
      <w:r w:rsidRPr="00BA6059">
        <w:rPr>
          <w:rFonts w:cs="Arial"/>
          <w:sz w:val="20"/>
          <w:szCs w:val="20"/>
          <w:vertAlign w:val="subscript"/>
        </w:rPr>
        <w:t>2</w:t>
      </w:r>
      <w:r w:rsidRPr="00BA6059">
        <w:rPr>
          <w:rFonts w:cs="Arial"/>
          <w:sz w:val="20"/>
          <w:szCs w:val="20"/>
        </w:rPr>
        <w:t xml:space="preserve">O. L’instrumentation permet de mesurer la teneur en eau et le potentiel matriciel au cours du temps. La conception du système répond à un ensemble de contraintes techniques, liées aux besoins scientifiques et de mise en pratique facile. Il a été mis en fonctionnement et a fourni des résultats satisfaisants en dépression jusqu’à </w:t>
      </w:r>
      <w:r w:rsidR="00223173" w:rsidRPr="00BA6059">
        <w:rPr>
          <w:rFonts w:cs="Arial"/>
          <w:sz w:val="20"/>
          <w:szCs w:val="20"/>
        </w:rPr>
        <w:t>-</w:t>
      </w:r>
      <w:r w:rsidR="00BF3E23" w:rsidRPr="00BA6059">
        <w:rPr>
          <w:rFonts w:cs="Arial"/>
          <w:sz w:val="20"/>
          <w:szCs w:val="20"/>
        </w:rPr>
        <w:t xml:space="preserve"> </w:t>
      </w:r>
      <w:r w:rsidRPr="00BA6059">
        <w:rPr>
          <w:rFonts w:cs="Arial"/>
          <w:sz w:val="20"/>
          <w:szCs w:val="20"/>
        </w:rPr>
        <w:t>300 cm d’eau.</w:t>
      </w:r>
    </w:p>
    <w:p w:rsidR="009D63E8" w:rsidRPr="00BA6059" w:rsidRDefault="009D63E8" w:rsidP="00223173">
      <w:pPr>
        <w:pStyle w:val="titrersummotscls"/>
        <w:rPr>
          <w:sz w:val="20"/>
          <w:szCs w:val="20"/>
        </w:rPr>
      </w:pPr>
      <w:r w:rsidRPr="00BA6059">
        <w:rPr>
          <w:sz w:val="20"/>
          <w:szCs w:val="20"/>
        </w:rPr>
        <w:t>Mots clés :</w:t>
      </w:r>
      <w:r w:rsidRPr="00BA6059">
        <w:rPr>
          <w:b w:val="0"/>
          <w:color w:val="auto"/>
          <w:sz w:val="20"/>
          <w:szCs w:val="20"/>
        </w:rPr>
        <w:t xml:space="preserve"> </w:t>
      </w:r>
      <w:r w:rsidR="00824A17" w:rsidRPr="00BA6059">
        <w:rPr>
          <w:b w:val="0"/>
          <w:color w:val="auto"/>
          <w:sz w:val="20"/>
          <w:szCs w:val="20"/>
        </w:rPr>
        <w:t>teneur en eau</w:t>
      </w:r>
      <w:r w:rsidRPr="00BA6059">
        <w:rPr>
          <w:b w:val="0"/>
          <w:color w:val="auto"/>
          <w:sz w:val="20"/>
          <w:szCs w:val="20"/>
        </w:rPr>
        <w:t xml:space="preserve">, </w:t>
      </w:r>
      <w:r w:rsidR="00824A17" w:rsidRPr="00BA6059">
        <w:rPr>
          <w:b w:val="0"/>
          <w:color w:val="auto"/>
          <w:sz w:val="20"/>
          <w:szCs w:val="20"/>
        </w:rPr>
        <w:t xml:space="preserve">potentiel matriciel, </w:t>
      </w:r>
      <w:r w:rsidRPr="00BA6059">
        <w:rPr>
          <w:b w:val="0"/>
          <w:color w:val="auto"/>
          <w:sz w:val="20"/>
          <w:szCs w:val="20"/>
        </w:rPr>
        <w:t xml:space="preserve">protoxyde d’azote, </w:t>
      </w:r>
      <w:r w:rsidR="005B155D" w:rsidRPr="00BA6059">
        <w:rPr>
          <w:b w:val="0"/>
          <w:color w:val="auto"/>
          <w:sz w:val="20"/>
          <w:szCs w:val="20"/>
        </w:rPr>
        <w:t xml:space="preserve">cycle de </w:t>
      </w:r>
      <w:r w:rsidR="00824A17" w:rsidRPr="00BA6059">
        <w:rPr>
          <w:b w:val="0"/>
          <w:color w:val="auto"/>
          <w:sz w:val="20"/>
          <w:szCs w:val="20"/>
        </w:rPr>
        <w:t xml:space="preserve">saturation-désaturation, </w:t>
      </w:r>
      <w:r w:rsidRPr="00BA6059">
        <w:rPr>
          <w:b w:val="0"/>
          <w:color w:val="auto"/>
          <w:sz w:val="20"/>
          <w:szCs w:val="20"/>
        </w:rPr>
        <w:t>sol</w:t>
      </w:r>
    </w:p>
    <w:p w:rsidR="009D63E8" w:rsidRPr="00250069" w:rsidRDefault="009D63E8" w:rsidP="00223173">
      <w:pPr>
        <w:pStyle w:val="titreniveau2"/>
      </w:pPr>
      <w:r w:rsidRPr="00250069">
        <w:t>Introduction</w:t>
      </w:r>
    </w:p>
    <w:p w:rsidR="009D63E8" w:rsidRPr="00BA6059" w:rsidRDefault="009D63E8" w:rsidP="00223173">
      <w:pPr>
        <w:pStyle w:val="texte"/>
        <w:rPr>
          <w:rFonts w:cs="Arial"/>
          <w:sz w:val="20"/>
          <w:szCs w:val="20"/>
        </w:rPr>
      </w:pPr>
      <w:r w:rsidRPr="00BA6059">
        <w:rPr>
          <w:rFonts w:cs="Arial"/>
          <w:sz w:val="20"/>
          <w:szCs w:val="20"/>
        </w:rPr>
        <w:t>Les émissions par les sols du protoxyde d’azote (N</w:t>
      </w:r>
      <w:r w:rsidRPr="00BA6059">
        <w:rPr>
          <w:rFonts w:cs="Arial"/>
          <w:sz w:val="20"/>
          <w:szCs w:val="20"/>
          <w:vertAlign w:val="subscript"/>
        </w:rPr>
        <w:t>2</w:t>
      </w:r>
      <w:r w:rsidRPr="00BA6059">
        <w:rPr>
          <w:rFonts w:cs="Arial"/>
          <w:sz w:val="20"/>
          <w:szCs w:val="20"/>
        </w:rPr>
        <w:t>O), un gaz à effet de serre, sont en particulier déterminées par les caractéristiques hydriques des sols. Si ce facteur de contrôle est reconnu depuis longtemps, il est néanmoins considéré comme un paramètre très sensible (</w:t>
      </w:r>
      <w:proofErr w:type="spellStart"/>
      <w:r w:rsidRPr="00BA6059">
        <w:rPr>
          <w:rFonts w:cs="Arial"/>
          <w:sz w:val="20"/>
          <w:szCs w:val="20"/>
        </w:rPr>
        <w:t>Grundmann</w:t>
      </w:r>
      <w:proofErr w:type="spellEnd"/>
      <w:r w:rsidRPr="00BA6059">
        <w:rPr>
          <w:rFonts w:cs="Arial"/>
          <w:sz w:val="20"/>
          <w:szCs w:val="20"/>
        </w:rPr>
        <w:t xml:space="preserve"> et </w:t>
      </w:r>
      <w:proofErr w:type="spellStart"/>
      <w:r w:rsidRPr="00BA6059">
        <w:rPr>
          <w:rFonts w:cs="Arial"/>
          <w:sz w:val="20"/>
          <w:szCs w:val="20"/>
        </w:rPr>
        <w:t>Rolston</w:t>
      </w:r>
      <w:proofErr w:type="spellEnd"/>
      <w:r w:rsidRPr="00BA6059">
        <w:rPr>
          <w:rFonts w:cs="Arial"/>
          <w:sz w:val="20"/>
          <w:szCs w:val="20"/>
        </w:rPr>
        <w:t xml:space="preserve">, 1987 ; </w:t>
      </w:r>
      <w:proofErr w:type="spellStart"/>
      <w:r w:rsidRPr="00BA6059">
        <w:rPr>
          <w:rFonts w:cs="Arial"/>
          <w:sz w:val="20"/>
          <w:szCs w:val="20"/>
        </w:rPr>
        <w:t>Heinen</w:t>
      </w:r>
      <w:proofErr w:type="spellEnd"/>
      <w:r w:rsidRPr="00BA6059">
        <w:rPr>
          <w:rFonts w:cs="Arial"/>
          <w:sz w:val="20"/>
          <w:szCs w:val="20"/>
        </w:rPr>
        <w:t xml:space="preserve">, 2006). Une </w:t>
      </w:r>
      <w:r w:rsidR="00824A17" w:rsidRPr="00BA6059">
        <w:rPr>
          <w:rFonts w:cs="Arial"/>
          <w:sz w:val="20"/>
          <w:szCs w:val="20"/>
        </w:rPr>
        <w:t xml:space="preserve">meilleure </w:t>
      </w:r>
      <w:r w:rsidRPr="00BA6059">
        <w:rPr>
          <w:rFonts w:cs="Arial"/>
          <w:sz w:val="20"/>
          <w:szCs w:val="20"/>
        </w:rPr>
        <w:t xml:space="preserve">compréhension des déterminismes </w:t>
      </w:r>
      <w:r w:rsidR="00DB5EAE" w:rsidRPr="00BA6059">
        <w:rPr>
          <w:rFonts w:cs="Arial"/>
          <w:sz w:val="20"/>
          <w:szCs w:val="20"/>
        </w:rPr>
        <w:t>des émissions de N</w:t>
      </w:r>
      <w:r w:rsidR="00DB5EAE" w:rsidRPr="00BA6059">
        <w:rPr>
          <w:rFonts w:cs="Arial"/>
          <w:sz w:val="20"/>
          <w:szCs w:val="20"/>
          <w:vertAlign w:val="subscript"/>
        </w:rPr>
        <w:t>2</w:t>
      </w:r>
      <w:r w:rsidR="00DB5EAE" w:rsidRPr="00BA6059">
        <w:rPr>
          <w:rFonts w:cs="Arial"/>
          <w:sz w:val="20"/>
          <w:szCs w:val="20"/>
        </w:rPr>
        <w:t xml:space="preserve">O </w:t>
      </w:r>
      <w:r w:rsidRPr="00BA6059">
        <w:rPr>
          <w:rFonts w:cs="Arial"/>
          <w:sz w:val="20"/>
          <w:szCs w:val="20"/>
        </w:rPr>
        <w:t>liés aux caractéristiques hydriques des sols constitue ainsi un enjeu majeur</w:t>
      </w:r>
      <w:r w:rsidR="00824A17" w:rsidRPr="00BA6059">
        <w:rPr>
          <w:rFonts w:cs="Arial"/>
          <w:sz w:val="20"/>
          <w:szCs w:val="20"/>
        </w:rPr>
        <w:t xml:space="preserve">. </w:t>
      </w:r>
      <w:r w:rsidR="00BF5A5F" w:rsidRPr="00BA6059">
        <w:rPr>
          <w:rFonts w:cs="Arial"/>
          <w:sz w:val="20"/>
          <w:szCs w:val="20"/>
        </w:rPr>
        <w:t>Cette compréhension</w:t>
      </w:r>
      <w:r w:rsidR="00824A17" w:rsidRPr="00BA6059">
        <w:rPr>
          <w:rFonts w:cs="Arial"/>
          <w:sz w:val="20"/>
          <w:szCs w:val="20"/>
        </w:rPr>
        <w:t xml:space="preserve"> peut être approchée à l’aide d’expérimentations de laboratoire impliquant un contrôle fin de l’état de saturation d’échantillons de sol</w:t>
      </w:r>
      <w:r w:rsidRPr="00BA6059">
        <w:rPr>
          <w:rFonts w:cs="Arial"/>
          <w:sz w:val="20"/>
          <w:szCs w:val="20"/>
        </w:rPr>
        <w:t>.</w:t>
      </w:r>
    </w:p>
    <w:p w:rsidR="009D63E8" w:rsidRPr="003F04C8" w:rsidRDefault="009D63E8" w:rsidP="00223173">
      <w:pPr>
        <w:pStyle w:val="texte"/>
        <w:rPr>
          <w:sz w:val="20"/>
          <w:szCs w:val="20"/>
        </w:rPr>
      </w:pPr>
      <w:r w:rsidRPr="00BA6059">
        <w:rPr>
          <w:rFonts w:cs="Arial"/>
          <w:sz w:val="20"/>
          <w:szCs w:val="20"/>
        </w:rPr>
        <w:t>Il existe diverses méthodes de contrôle de la dynamique hydrique d’échantillons de sol</w:t>
      </w:r>
      <w:r w:rsidR="00665C67" w:rsidRPr="00BA6059">
        <w:rPr>
          <w:rFonts w:cs="Arial"/>
          <w:sz w:val="20"/>
          <w:szCs w:val="20"/>
        </w:rPr>
        <w:t xml:space="preserve"> au laboratoire</w:t>
      </w:r>
      <w:r w:rsidRPr="00BA6059">
        <w:rPr>
          <w:rFonts w:cs="Arial"/>
          <w:sz w:val="20"/>
          <w:szCs w:val="20"/>
        </w:rPr>
        <w:t xml:space="preserve">, développées principalement pour l’estimation de la courbe de rétention en eau des sols, c’est-à-dire pour établir la relation teneur en eau-potentiel matriciel. Les tables à succion utilisent le principe de l’équilibre hydrostatique pour appliquer une charge hydraulique négative sur un échantillon de sol placé sur une couche de sable fin. La charge hydraulique négative est appliquée en abaissant un réservoir d’eau, ce qui conduit au drainage de l’échantillon. Le suivi de la teneur en eau est réalisé par pesées en dehors de la table à succion. Les tables à succion fonctionnent dans la gamme de potentiels matriciels de 0 à </w:t>
      </w:r>
      <w:r w:rsidR="00223173" w:rsidRPr="00BA6059">
        <w:rPr>
          <w:rFonts w:cs="Arial"/>
          <w:sz w:val="20"/>
          <w:szCs w:val="20"/>
        </w:rPr>
        <w:t xml:space="preserve">- </w:t>
      </w:r>
      <w:r w:rsidRPr="00BA6059">
        <w:rPr>
          <w:rFonts w:cs="Arial"/>
          <w:sz w:val="20"/>
          <w:szCs w:val="20"/>
        </w:rPr>
        <w:t xml:space="preserve">100 cm d’eau, et permettent de traiter en même temps plusieurs échantillons de petite taille, typiquement 5 cm de haut. Plus la taille des pores constituant le matériau sur lequel repose l’échantillon est </w:t>
      </w:r>
      <w:proofErr w:type="gramStart"/>
      <w:r w:rsidRPr="00BA6059">
        <w:rPr>
          <w:rFonts w:cs="Arial"/>
          <w:sz w:val="20"/>
          <w:szCs w:val="20"/>
        </w:rPr>
        <w:t>fine</w:t>
      </w:r>
      <w:proofErr w:type="gramEnd"/>
      <w:r w:rsidRPr="00BA6059">
        <w:rPr>
          <w:rFonts w:cs="Arial"/>
          <w:sz w:val="20"/>
          <w:szCs w:val="20"/>
        </w:rPr>
        <w:t xml:space="preserve">, et plus la charge hydraulique négative qui peut être appliquée est </w:t>
      </w:r>
      <w:r w:rsidR="00824A17" w:rsidRPr="00BA6059">
        <w:rPr>
          <w:rFonts w:cs="Arial"/>
          <w:sz w:val="20"/>
          <w:szCs w:val="20"/>
        </w:rPr>
        <w:t>basse</w:t>
      </w:r>
      <w:r w:rsidRPr="00BA6059">
        <w:rPr>
          <w:rFonts w:cs="Arial"/>
          <w:sz w:val="20"/>
          <w:szCs w:val="20"/>
        </w:rPr>
        <w:t xml:space="preserve">. Ainsi, lorsque le sable de la table à succion est remplacé par un mélange sable/kaolin, la désaturation peut aller jusqu’à environ </w:t>
      </w:r>
      <w:r w:rsidR="00223173" w:rsidRPr="00BA6059">
        <w:rPr>
          <w:rFonts w:cs="Arial"/>
          <w:sz w:val="20"/>
          <w:szCs w:val="20"/>
        </w:rPr>
        <w:t xml:space="preserve">- </w:t>
      </w:r>
      <w:r w:rsidRPr="00BA6059">
        <w:rPr>
          <w:rFonts w:cs="Arial"/>
          <w:sz w:val="20"/>
          <w:szCs w:val="20"/>
        </w:rPr>
        <w:t>500 cm d’eau. Pour des gammes de potentiels plus important</w:t>
      </w:r>
      <w:r w:rsidR="00824A17" w:rsidRPr="00BA6059">
        <w:rPr>
          <w:rFonts w:cs="Arial"/>
          <w:sz w:val="20"/>
          <w:szCs w:val="20"/>
        </w:rPr>
        <w:t>s, la pression est cette fois</w:t>
      </w:r>
      <w:r w:rsidRPr="00BA6059">
        <w:rPr>
          <w:rFonts w:cs="Arial"/>
          <w:sz w:val="20"/>
          <w:szCs w:val="20"/>
        </w:rPr>
        <w:t xml:space="preserve"> appliquée à la surface de l’échantillon à l’aide d’air comprimé. </w:t>
      </w:r>
      <w:r w:rsidR="00223173" w:rsidRPr="00BA6059">
        <w:rPr>
          <w:rFonts w:cs="Arial"/>
          <w:sz w:val="20"/>
          <w:szCs w:val="20"/>
        </w:rPr>
        <w:t xml:space="preserve">On </w:t>
      </w:r>
      <w:r w:rsidRPr="00BA6059">
        <w:rPr>
          <w:rFonts w:cs="Arial"/>
          <w:sz w:val="20"/>
          <w:szCs w:val="20"/>
        </w:rPr>
        <w:t>peut citer par exemple les systèmes de presse à membrane de Richards, pour l’estimation de la rétention en eau de mottes de sol. La gamme de potentiels matriciels atteints est de</w:t>
      </w:r>
      <w:r w:rsidR="00223173" w:rsidRPr="00BA6059">
        <w:rPr>
          <w:rFonts w:cs="Arial"/>
          <w:sz w:val="20"/>
          <w:szCs w:val="20"/>
        </w:rPr>
        <w:t xml:space="preserve"> - </w:t>
      </w:r>
      <w:r w:rsidRPr="00BA6059">
        <w:rPr>
          <w:rFonts w:cs="Arial"/>
          <w:sz w:val="20"/>
          <w:szCs w:val="20"/>
        </w:rPr>
        <w:t xml:space="preserve">100 à </w:t>
      </w:r>
      <w:r w:rsidR="00223173" w:rsidRPr="00BA6059">
        <w:rPr>
          <w:rFonts w:cs="Arial"/>
          <w:sz w:val="20"/>
          <w:szCs w:val="20"/>
        </w:rPr>
        <w:t xml:space="preserve">- </w:t>
      </w:r>
      <w:r w:rsidRPr="00BA6059">
        <w:rPr>
          <w:rFonts w:cs="Arial"/>
          <w:sz w:val="20"/>
          <w:szCs w:val="20"/>
        </w:rPr>
        <w:t xml:space="preserve">15 000 cm d’eau. Des systèmes commerciaux utilisent le même principe sur des cylindres d’échantillons non perturbés (ex. : les </w:t>
      </w:r>
      <w:r w:rsidRPr="00BA6059">
        <w:rPr>
          <w:rFonts w:cs="Arial"/>
          <w:i/>
          <w:sz w:val="20"/>
          <w:szCs w:val="20"/>
        </w:rPr>
        <w:t xml:space="preserve">Flow Pressure </w:t>
      </w:r>
      <w:proofErr w:type="spellStart"/>
      <w:r w:rsidRPr="00BA6059">
        <w:rPr>
          <w:rFonts w:cs="Arial"/>
          <w:i/>
          <w:sz w:val="20"/>
          <w:szCs w:val="20"/>
        </w:rPr>
        <w:t>Cells</w:t>
      </w:r>
      <w:proofErr w:type="spellEnd"/>
      <w:r w:rsidRPr="00BA6059">
        <w:rPr>
          <w:rFonts w:cs="Arial"/>
          <w:sz w:val="20"/>
          <w:szCs w:val="20"/>
        </w:rPr>
        <w:t xml:space="preserve"> et </w:t>
      </w:r>
      <w:r w:rsidRPr="00BA6059">
        <w:rPr>
          <w:rFonts w:cs="Arial"/>
          <w:i/>
          <w:sz w:val="20"/>
          <w:szCs w:val="20"/>
        </w:rPr>
        <w:t xml:space="preserve">Tempe Pressure </w:t>
      </w:r>
      <w:proofErr w:type="spellStart"/>
      <w:r w:rsidRPr="00BA6059">
        <w:rPr>
          <w:rFonts w:cs="Arial"/>
          <w:i/>
          <w:sz w:val="20"/>
          <w:szCs w:val="20"/>
        </w:rPr>
        <w:t>Cells</w:t>
      </w:r>
      <w:proofErr w:type="spellEnd"/>
      <w:r w:rsidRPr="00BA6059">
        <w:rPr>
          <w:rFonts w:cs="Arial"/>
          <w:sz w:val="20"/>
          <w:szCs w:val="20"/>
        </w:rPr>
        <w:t xml:space="preserve"> de</w:t>
      </w:r>
      <w:r w:rsidRPr="00BA6059">
        <w:rPr>
          <w:rFonts w:cs="Arial"/>
        </w:rPr>
        <w:t xml:space="preserve"> </w:t>
      </w:r>
      <w:proofErr w:type="spellStart"/>
      <w:r w:rsidRPr="00BA6059">
        <w:rPr>
          <w:rFonts w:cs="Arial"/>
        </w:rPr>
        <w:t>Soilmoisture</w:t>
      </w:r>
      <w:proofErr w:type="spellEnd"/>
      <w:r w:rsidRPr="00BA6059">
        <w:rPr>
          <w:rFonts w:cs="Arial"/>
        </w:rPr>
        <w:t xml:space="preserve"> </w:t>
      </w:r>
      <w:r w:rsidRPr="00BA6059">
        <w:rPr>
          <w:rFonts w:cs="Arial"/>
          <w:sz w:val="20"/>
          <w:szCs w:val="20"/>
        </w:rPr>
        <w:t xml:space="preserve">Equipment). Enfin, les systèmes de </w:t>
      </w:r>
      <w:proofErr w:type="spellStart"/>
      <w:r w:rsidRPr="00BA6059">
        <w:rPr>
          <w:rFonts w:cs="Arial"/>
          <w:i/>
          <w:sz w:val="20"/>
          <w:szCs w:val="20"/>
        </w:rPr>
        <w:t>multistep</w:t>
      </w:r>
      <w:proofErr w:type="spellEnd"/>
      <w:r w:rsidRPr="00BA6059">
        <w:rPr>
          <w:rFonts w:cs="Arial"/>
          <w:i/>
          <w:sz w:val="20"/>
          <w:szCs w:val="20"/>
        </w:rPr>
        <w:t xml:space="preserve"> </w:t>
      </w:r>
      <w:proofErr w:type="spellStart"/>
      <w:r w:rsidRPr="00BA6059">
        <w:rPr>
          <w:rFonts w:cs="Arial"/>
          <w:i/>
          <w:sz w:val="20"/>
          <w:szCs w:val="20"/>
        </w:rPr>
        <w:t>outflow</w:t>
      </w:r>
      <w:proofErr w:type="spellEnd"/>
      <w:r w:rsidRPr="00BA6059">
        <w:rPr>
          <w:rFonts w:cs="Arial"/>
          <w:sz w:val="20"/>
          <w:szCs w:val="20"/>
        </w:rPr>
        <w:t xml:space="preserve"> (MSO) sont utilisés pour l’étude de la relation teneur en eau-potentiel matriciel en conditions</w:t>
      </w:r>
      <w:r w:rsidRPr="00BA6059">
        <w:rPr>
          <w:sz w:val="20"/>
          <w:szCs w:val="20"/>
        </w:rPr>
        <w:t xml:space="preserve"> dynamiques. La désaturation est le plus souvent réalisée en imposant une pression à la surface du sol, mais peut aussi être</w:t>
      </w:r>
      <w:r w:rsidRPr="003F04C8">
        <w:rPr>
          <w:sz w:val="20"/>
          <w:szCs w:val="20"/>
        </w:rPr>
        <w:t xml:space="preserve"> réalisée à l’aide d’une dépression à la limite inférieure de l’échantillon. Un système de MSO a été utilisé dans le cadre de </w:t>
      </w:r>
      <w:r w:rsidRPr="003F04C8">
        <w:rPr>
          <w:sz w:val="20"/>
          <w:szCs w:val="20"/>
        </w:rPr>
        <w:lastRenderedPageBreak/>
        <w:t xml:space="preserve">l’étude des émissions de dioxyde de carbone lors de la désaturation d’échantillons de sol par </w:t>
      </w:r>
      <w:proofErr w:type="spellStart"/>
      <w:r w:rsidRPr="003F04C8">
        <w:rPr>
          <w:sz w:val="20"/>
          <w:szCs w:val="20"/>
        </w:rPr>
        <w:t>Weihermüller</w:t>
      </w:r>
      <w:proofErr w:type="spellEnd"/>
      <w:r w:rsidRPr="003F04C8">
        <w:rPr>
          <w:sz w:val="20"/>
          <w:szCs w:val="20"/>
        </w:rPr>
        <w:t xml:space="preserve"> </w:t>
      </w:r>
      <w:r w:rsidRPr="00BA6059">
        <w:rPr>
          <w:sz w:val="20"/>
          <w:szCs w:val="20"/>
        </w:rPr>
        <w:t>et al.</w:t>
      </w:r>
      <w:r w:rsidRPr="003F04C8">
        <w:rPr>
          <w:sz w:val="20"/>
          <w:szCs w:val="20"/>
        </w:rPr>
        <w:t xml:space="preserve"> </w:t>
      </w:r>
      <w:r w:rsidRPr="003F04C8">
        <w:rPr>
          <w:noProof/>
          <w:sz w:val="20"/>
          <w:szCs w:val="20"/>
        </w:rPr>
        <w:t>(2009)</w:t>
      </w:r>
      <w:r w:rsidRPr="003F04C8">
        <w:rPr>
          <w:sz w:val="20"/>
          <w:szCs w:val="20"/>
        </w:rPr>
        <w:t xml:space="preserve">, jusqu’à </w:t>
      </w:r>
      <w:r w:rsidR="00223173" w:rsidRPr="003F04C8">
        <w:rPr>
          <w:sz w:val="20"/>
          <w:szCs w:val="20"/>
        </w:rPr>
        <w:t xml:space="preserve">- </w:t>
      </w:r>
      <w:r w:rsidRPr="003F04C8">
        <w:rPr>
          <w:sz w:val="20"/>
          <w:szCs w:val="20"/>
        </w:rPr>
        <w:t xml:space="preserve">600 cm d’eau. Un système simplifié a été utilisé par </w:t>
      </w:r>
      <w:proofErr w:type="spellStart"/>
      <w:r w:rsidRPr="003F04C8">
        <w:rPr>
          <w:sz w:val="20"/>
          <w:szCs w:val="20"/>
        </w:rPr>
        <w:t>Castellano</w:t>
      </w:r>
      <w:proofErr w:type="spellEnd"/>
      <w:r w:rsidRPr="003F04C8">
        <w:rPr>
          <w:sz w:val="20"/>
          <w:szCs w:val="20"/>
        </w:rPr>
        <w:t xml:space="preserve"> </w:t>
      </w:r>
      <w:r w:rsidRPr="00BA6059">
        <w:rPr>
          <w:sz w:val="20"/>
          <w:szCs w:val="20"/>
        </w:rPr>
        <w:t>et al.</w:t>
      </w:r>
      <w:r w:rsidRPr="003F04C8">
        <w:rPr>
          <w:sz w:val="20"/>
          <w:szCs w:val="20"/>
        </w:rPr>
        <w:t xml:space="preserve"> </w:t>
      </w:r>
      <w:r w:rsidRPr="003F04C8">
        <w:rPr>
          <w:noProof/>
          <w:sz w:val="20"/>
          <w:szCs w:val="20"/>
        </w:rPr>
        <w:t>(2010)</w:t>
      </w:r>
      <w:r w:rsidRPr="003F04C8">
        <w:rPr>
          <w:sz w:val="20"/>
          <w:szCs w:val="20"/>
        </w:rPr>
        <w:t xml:space="preserve"> pour l’étude des émissions de N</w:t>
      </w:r>
      <w:r w:rsidRPr="003F04C8">
        <w:rPr>
          <w:sz w:val="20"/>
          <w:szCs w:val="20"/>
          <w:vertAlign w:val="subscript"/>
        </w:rPr>
        <w:t>2</w:t>
      </w:r>
      <w:r w:rsidRPr="003F04C8">
        <w:rPr>
          <w:sz w:val="20"/>
          <w:szCs w:val="20"/>
        </w:rPr>
        <w:t xml:space="preserve">O, dans lequel la désaturation était réalisée par drainage libre jusqu’à un potentiel matriciel de </w:t>
      </w:r>
      <w:r w:rsidR="00223173" w:rsidRPr="003F04C8">
        <w:rPr>
          <w:sz w:val="20"/>
          <w:szCs w:val="20"/>
        </w:rPr>
        <w:t xml:space="preserve">- </w:t>
      </w:r>
      <w:r w:rsidRPr="003F04C8">
        <w:rPr>
          <w:sz w:val="20"/>
          <w:szCs w:val="20"/>
        </w:rPr>
        <w:t>80 cm d’eau.</w:t>
      </w:r>
    </w:p>
    <w:p w:rsidR="009D63E8" w:rsidRPr="003F04C8" w:rsidRDefault="009D63E8" w:rsidP="00223173">
      <w:pPr>
        <w:pStyle w:val="texte"/>
        <w:rPr>
          <w:sz w:val="20"/>
          <w:szCs w:val="20"/>
        </w:rPr>
      </w:pPr>
      <w:r w:rsidRPr="003F04C8">
        <w:rPr>
          <w:sz w:val="20"/>
          <w:szCs w:val="20"/>
        </w:rPr>
        <w:t xml:space="preserve">Dans cet article, </w:t>
      </w:r>
      <w:r w:rsidR="001051E2" w:rsidRPr="003F04C8">
        <w:rPr>
          <w:sz w:val="20"/>
          <w:szCs w:val="20"/>
        </w:rPr>
        <w:t xml:space="preserve">nous présenterons </w:t>
      </w:r>
      <w:r w:rsidRPr="003F04C8">
        <w:rPr>
          <w:sz w:val="20"/>
          <w:szCs w:val="20"/>
        </w:rPr>
        <w:t>la conception d’un système de contrôle de la dynamique hydrique de saturation et de désaturation d’échantillons de sol. Ce système sera couplé à un système de mesure des émissions de N</w:t>
      </w:r>
      <w:r w:rsidRPr="003F04C8">
        <w:rPr>
          <w:sz w:val="20"/>
          <w:szCs w:val="20"/>
          <w:vertAlign w:val="subscript"/>
        </w:rPr>
        <w:t>2</w:t>
      </w:r>
      <w:r w:rsidRPr="003F04C8">
        <w:rPr>
          <w:sz w:val="20"/>
          <w:szCs w:val="20"/>
        </w:rPr>
        <w:t>O. Sa conception répondra à un ensemble de besoins scientifiques et pratiques.</w:t>
      </w:r>
    </w:p>
    <w:p w:rsidR="009D63E8" w:rsidRPr="00250069" w:rsidRDefault="009D63E8" w:rsidP="00223173">
      <w:pPr>
        <w:pStyle w:val="titreniveau2"/>
      </w:pPr>
      <w:r w:rsidRPr="00250069">
        <w:t>Matériel et méthodes</w:t>
      </w:r>
    </w:p>
    <w:p w:rsidR="009D63E8" w:rsidRPr="00250069" w:rsidRDefault="009D63E8" w:rsidP="00223173">
      <w:pPr>
        <w:pStyle w:val="titreniveau3"/>
      </w:pPr>
      <w:r w:rsidRPr="00250069">
        <w:t>Cahier des charges</w:t>
      </w:r>
    </w:p>
    <w:p w:rsidR="009D63E8" w:rsidRPr="003F04C8" w:rsidRDefault="009D63E8" w:rsidP="00223173">
      <w:pPr>
        <w:pStyle w:val="texte"/>
        <w:rPr>
          <w:sz w:val="20"/>
          <w:szCs w:val="20"/>
        </w:rPr>
      </w:pPr>
      <w:r w:rsidRPr="003F04C8">
        <w:rPr>
          <w:sz w:val="20"/>
          <w:szCs w:val="20"/>
        </w:rPr>
        <w:t>La définition des enjeux scientifiques conduit à envisager des expérimentations de contrôle</w:t>
      </w:r>
      <w:r w:rsidR="00EA1D49" w:rsidRPr="003F04C8">
        <w:rPr>
          <w:sz w:val="20"/>
          <w:szCs w:val="20"/>
        </w:rPr>
        <w:t xml:space="preserve"> </w:t>
      </w:r>
      <w:r w:rsidRPr="003F04C8">
        <w:rPr>
          <w:sz w:val="20"/>
          <w:szCs w:val="20"/>
        </w:rPr>
        <w:t>fin de la saturation et de la désaturation en eau d’échantillons de sol, couplées à la mesure des flux de N</w:t>
      </w:r>
      <w:r w:rsidRPr="003F04C8">
        <w:rPr>
          <w:sz w:val="20"/>
          <w:szCs w:val="20"/>
          <w:vertAlign w:val="subscript"/>
        </w:rPr>
        <w:t>2</w:t>
      </w:r>
      <w:r w:rsidRPr="003F04C8">
        <w:rPr>
          <w:sz w:val="20"/>
          <w:szCs w:val="20"/>
        </w:rPr>
        <w:t>O, pendant une durée d’environ deux semaines. Plusieurs expérimentations de ce type devront pouvoir être encha</w:t>
      </w:r>
      <w:r w:rsidR="00864736" w:rsidRPr="003F04C8">
        <w:rPr>
          <w:sz w:val="20"/>
          <w:szCs w:val="20"/>
        </w:rPr>
        <w:t>î</w:t>
      </w:r>
      <w:r w:rsidRPr="003F04C8">
        <w:rPr>
          <w:sz w:val="20"/>
          <w:szCs w:val="20"/>
        </w:rPr>
        <w:t xml:space="preserve">nées dans le temps. Un ensemble de contraintes techniques, liées aux besoins scientifiques et </w:t>
      </w:r>
      <w:r w:rsidR="001C49BD" w:rsidRPr="003F04C8">
        <w:rPr>
          <w:sz w:val="20"/>
          <w:szCs w:val="20"/>
        </w:rPr>
        <w:t>à une</w:t>
      </w:r>
      <w:r w:rsidRPr="003F04C8">
        <w:rPr>
          <w:sz w:val="20"/>
          <w:szCs w:val="20"/>
        </w:rPr>
        <w:t xml:space="preserve"> mise en pratique facile, a ainsi été listé :</w:t>
      </w:r>
    </w:p>
    <w:p w:rsidR="009D63E8" w:rsidRPr="003F04C8" w:rsidRDefault="00EA1D49" w:rsidP="009D63E8">
      <w:pPr>
        <w:pStyle w:val="texte"/>
        <w:numPr>
          <w:ilvl w:val="0"/>
          <w:numId w:val="31"/>
        </w:numPr>
        <w:rPr>
          <w:sz w:val="20"/>
          <w:szCs w:val="20"/>
        </w:rPr>
      </w:pPr>
      <w:r w:rsidRPr="003F04C8">
        <w:rPr>
          <w:sz w:val="20"/>
          <w:szCs w:val="20"/>
        </w:rPr>
        <w:t>l</w:t>
      </w:r>
      <w:r w:rsidR="009D63E8" w:rsidRPr="003F04C8">
        <w:rPr>
          <w:sz w:val="20"/>
          <w:szCs w:val="20"/>
        </w:rPr>
        <w:t xml:space="preserve">e dispositif doit permettre à la fois </w:t>
      </w:r>
      <w:r w:rsidR="009D63E8" w:rsidRPr="00BF4A02">
        <w:rPr>
          <w:sz w:val="20"/>
          <w:szCs w:val="20"/>
        </w:rPr>
        <w:t>le contrôle fin</w:t>
      </w:r>
      <w:r w:rsidR="008F2799" w:rsidRPr="00BF4A02">
        <w:rPr>
          <w:sz w:val="20"/>
          <w:szCs w:val="20"/>
        </w:rPr>
        <w:t xml:space="preserve"> (à ± 5 </w:t>
      </w:r>
      <w:proofErr w:type="spellStart"/>
      <w:r w:rsidR="008F2799" w:rsidRPr="00BF4A02">
        <w:rPr>
          <w:sz w:val="20"/>
          <w:szCs w:val="20"/>
        </w:rPr>
        <w:t>hPa</w:t>
      </w:r>
      <w:proofErr w:type="spellEnd"/>
      <w:r w:rsidR="008F2799" w:rsidRPr="00BF4A02">
        <w:rPr>
          <w:sz w:val="20"/>
          <w:szCs w:val="20"/>
        </w:rPr>
        <w:t>)</w:t>
      </w:r>
      <w:r w:rsidR="009D63E8" w:rsidRPr="003F04C8">
        <w:rPr>
          <w:sz w:val="20"/>
          <w:szCs w:val="20"/>
        </w:rPr>
        <w:t xml:space="preserve"> de la saturation et de la désaturation en eau d’un échantillon de sol, sans </w:t>
      </w:r>
      <w:r w:rsidR="003F4420" w:rsidRPr="003F04C8">
        <w:rPr>
          <w:sz w:val="20"/>
          <w:szCs w:val="20"/>
        </w:rPr>
        <w:t>qu’il soit nécessaire de déplacer l’échantillon ;</w:t>
      </w:r>
    </w:p>
    <w:p w:rsidR="009D63E8" w:rsidRPr="003F04C8" w:rsidRDefault="00EA1D49" w:rsidP="009D63E8">
      <w:pPr>
        <w:pStyle w:val="texte"/>
        <w:numPr>
          <w:ilvl w:val="0"/>
          <w:numId w:val="31"/>
        </w:numPr>
        <w:rPr>
          <w:sz w:val="20"/>
          <w:szCs w:val="20"/>
        </w:rPr>
      </w:pPr>
      <w:r w:rsidRPr="003F04C8">
        <w:rPr>
          <w:sz w:val="20"/>
          <w:szCs w:val="20"/>
        </w:rPr>
        <w:t>l</w:t>
      </w:r>
      <w:r w:rsidR="009D63E8" w:rsidRPr="003F04C8">
        <w:rPr>
          <w:sz w:val="20"/>
          <w:szCs w:val="20"/>
        </w:rPr>
        <w:t>e dispositif doit être compatible avec la mesure des flux de N</w:t>
      </w:r>
      <w:r w:rsidR="009D63E8" w:rsidRPr="003F04C8">
        <w:rPr>
          <w:sz w:val="20"/>
          <w:szCs w:val="20"/>
          <w:vertAlign w:val="subscript"/>
        </w:rPr>
        <w:t>2</w:t>
      </w:r>
      <w:r w:rsidR="009D63E8" w:rsidRPr="003F04C8">
        <w:rPr>
          <w:sz w:val="20"/>
          <w:szCs w:val="20"/>
        </w:rPr>
        <w:t>O par la méthode des chambres statiques. Cette technique consiste à placer une chambre étanche à la surface de l’échantillon de sol et à mesurer l’évolution de la concentration en N</w:t>
      </w:r>
      <w:r w:rsidR="009D63E8" w:rsidRPr="003F04C8">
        <w:rPr>
          <w:sz w:val="20"/>
          <w:szCs w:val="20"/>
          <w:vertAlign w:val="subscript"/>
        </w:rPr>
        <w:t>2</w:t>
      </w:r>
      <w:r w:rsidR="009D63E8" w:rsidRPr="003F04C8">
        <w:rPr>
          <w:sz w:val="20"/>
          <w:szCs w:val="20"/>
        </w:rPr>
        <w:t>O au cours du temps, pour finalement calculer le flux de N</w:t>
      </w:r>
      <w:r w:rsidR="009D63E8" w:rsidRPr="003F04C8">
        <w:rPr>
          <w:sz w:val="20"/>
          <w:szCs w:val="20"/>
          <w:vertAlign w:val="subscript"/>
        </w:rPr>
        <w:t>2</w:t>
      </w:r>
      <w:r w:rsidR="009D63E8" w:rsidRPr="003F04C8">
        <w:rPr>
          <w:sz w:val="20"/>
          <w:szCs w:val="20"/>
        </w:rPr>
        <w:t>O. Ainsi, la désaturation en eau d’échantillons de sols par l’application d’une pression positive à la surface du sol n’est pas envisageable ;</w:t>
      </w:r>
    </w:p>
    <w:p w:rsidR="009D63E8" w:rsidRPr="003F04C8" w:rsidRDefault="00EA1D49" w:rsidP="009D63E8">
      <w:pPr>
        <w:pStyle w:val="texte"/>
        <w:numPr>
          <w:ilvl w:val="0"/>
          <w:numId w:val="31"/>
        </w:numPr>
        <w:rPr>
          <w:sz w:val="20"/>
          <w:szCs w:val="20"/>
        </w:rPr>
      </w:pPr>
      <w:r w:rsidRPr="003F04C8">
        <w:rPr>
          <w:sz w:val="20"/>
          <w:szCs w:val="20"/>
        </w:rPr>
        <w:t>l</w:t>
      </w:r>
      <w:r w:rsidR="009D63E8" w:rsidRPr="003F04C8">
        <w:rPr>
          <w:sz w:val="20"/>
          <w:szCs w:val="20"/>
        </w:rPr>
        <w:t>e système doit être étanche aux gaz et à l’eau, mais démontable ;</w:t>
      </w:r>
    </w:p>
    <w:p w:rsidR="009D63E8" w:rsidRPr="003F04C8" w:rsidRDefault="00EA1D49" w:rsidP="009D63E8">
      <w:pPr>
        <w:pStyle w:val="texte"/>
        <w:numPr>
          <w:ilvl w:val="0"/>
          <w:numId w:val="31"/>
        </w:numPr>
        <w:rPr>
          <w:sz w:val="20"/>
          <w:szCs w:val="20"/>
        </w:rPr>
      </w:pPr>
      <w:r w:rsidRPr="003F04C8">
        <w:rPr>
          <w:sz w:val="20"/>
          <w:szCs w:val="20"/>
        </w:rPr>
        <w:t>l</w:t>
      </w:r>
      <w:r w:rsidR="009D63E8" w:rsidRPr="003F04C8">
        <w:rPr>
          <w:sz w:val="20"/>
          <w:szCs w:val="20"/>
        </w:rPr>
        <w:t xml:space="preserve">e potentiel matriciel minimum mesuré lors de la désaturation des échantillons doit être inférieur à </w:t>
      </w:r>
      <w:r w:rsidRPr="003F04C8">
        <w:rPr>
          <w:sz w:val="20"/>
          <w:szCs w:val="20"/>
        </w:rPr>
        <w:t xml:space="preserve">- </w:t>
      </w:r>
      <w:r w:rsidR="009D63E8" w:rsidRPr="003F04C8">
        <w:rPr>
          <w:sz w:val="20"/>
          <w:szCs w:val="20"/>
        </w:rPr>
        <w:t>100 cm d’eau ;</w:t>
      </w:r>
    </w:p>
    <w:p w:rsidR="009D63E8" w:rsidRPr="003F04C8" w:rsidRDefault="00EA1D49" w:rsidP="009D63E8">
      <w:pPr>
        <w:pStyle w:val="texte"/>
        <w:numPr>
          <w:ilvl w:val="0"/>
          <w:numId w:val="31"/>
        </w:numPr>
        <w:rPr>
          <w:sz w:val="20"/>
          <w:szCs w:val="20"/>
        </w:rPr>
      </w:pPr>
      <w:r w:rsidRPr="003F04C8">
        <w:rPr>
          <w:sz w:val="20"/>
          <w:szCs w:val="20"/>
        </w:rPr>
        <w:t>l</w:t>
      </w:r>
      <w:r w:rsidR="009D63E8" w:rsidRPr="003F04C8">
        <w:rPr>
          <w:sz w:val="20"/>
          <w:szCs w:val="20"/>
        </w:rPr>
        <w:t>es échantillons de sol seront de grande taille (15 cm de diamètre, pour 7 cm de hauteur) ;</w:t>
      </w:r>
    </w:p>
    <w:p w:rsidR="009D63E8" w:rsidRPr="003F04C8" w:rsidRDefault="00EA1D49" w:rsidP="009D63E8">
      <w:pPr>
        <w:pStyle w:val="texte"/>
        <w:numPr>
          <w:ilvl w:val="0"/>
          <w:numId w:val="31"/>
        </w:numPr>
        <w:rPr>
          <w:sz w:val="20"/>
          <w:szCs w:val="20"/>
        </w:rPr>
      </w:pPr>
      <w:r w:rsidRPr="003F04C8">
        <w:rPr>
          <w:sz w:val="20"/>
          <w:szCs w:val="20"/>
        </w:rPr>
        <w:t>l</w:t>
      </w:r>
      <w:r w:rsidR="009D63E8" w:rsidRPr="003F04C8">
        <w:rPr>
          <w:sz w:val="20"/>
          <w:szCs w:val="20"/>
        </w:rPr>
        <w:t>’instrumentation doit permettre le suivi de la teneur en eau et du potentiel matriciel du sol au cours du temps ;</w:t>
      </w:r>
    </w:p>
    <w:p w:rsidR="009D63E8" w:rsidRPr="003F04C8" w:rsidRDefault="00EA1D49" w:rsidP="009D63E8">
      <w:pPr>
        <w:pStyle w:val="texte"/>
        <w:numPr>
          <w:ilvl w:val="0"/>
          <w:numId w:val="31"/>
        </w:numPr>
        <w:rPr>
          <w:sz w:val="20"/>
          <w:szCs w:val="20"/>
        </w:rPr>
      </w:pPr>
      <w:r w:rsidRPr="003F04C8">
        <w:rPr>
          <w:sz w:val="20"/>
          <w:szCs w:val="20"/>
        </w:rPr>
        <w:t>l</w:t>
      </w:r>
      <w:r w:rsidR="009D63E8" w:rsidRPr="003F04C8">
        <w:rPr>
          <w:sz w:val="20"/>
          <w:szCs w:val="20"/>
        </w:rPr>
        <w:t>’eau drainée lors de la désaturation doit pouvoir être recueillie ;</w:t>
      </w:r>
    </w:p>
    <w:p w:rsidR="009D63E8" w:rsidRDefault="00EA1D49" w:rsidP="009D63E8">
      <w:pPr>
        <w:pStyle w:val="texte"/>
        <w:numPr>
          <w:ilvl w:val="0"/>
          <w:numId w:val="31"/>
        </w:numPr>
      </w:pPr>
      <w:r w:rsidRPr="003F04C8">
        <w:rPr>
          <w:sz w:val="20"/>
          <w:szCs w:val="20"/>
        </w:rPr>
        <w:t>l</w:t>
      </w:r>
      <w:r w:rsidR="00AC0650" w:rsidRPr="003F04C8">
        <w:rPr>
          <w:sz w:val="20"/>
          <w:szCs w:val="20"/>
        </w:rPr>
        <w:t>’ensemble du</w:t>
      </w:r>
      <w:r w:rsidR="009D63E8" w:rsidRPr="003F04C8">
        <w:rPr>
          <w:sz w:val="20"/>
          <w:szCs w:val="20"/>
        </w:rPr>
        <w:t xml:space="preserve"> système doit pouvoir être transporté</w:t>
      </w:r>
      <w:r w:rsidR="009D63E8">
        <w:t>.</w:t>
      </w:r>
    </w:p>
    <w:p w:rsidR="009D63E8" w:rsidRPr="00250069" w:rsidRDefault="009D63E8" w:rsidP="00223173">
      <w:pPr>
        <w:pStyle w:val="titreniveau3"/>
      </w:pPr>
      <w:r w:rsidRPr="00250069">
        <w:t>Conception du banc MSO</w:t>
      </w:r>
    </w:p>
    <w:p w:rsidR="009D63E8" w:rsidRPr="003F04C8" w:rsidRDefault="009D63E8" w:rsidP="00223173">
      <w:pPr>
        <w:pStyle w:val="texte"/>
        <w:rPr>
          <w:sz w:val="20"/>
          <w:szCs w:val="20"/>
        </w:rPr>
      </w:pPr>
      <w:r w:rsidRPr="003F04C8">
        <w:rPr>
          <w:sz w:val="20"/>
          <w:szCs w:val="20"/>
        </w:rPr>
        <w:t xml:space="preserve">Nous avons alors envisagé de fabriquer un système de </w:t>
      </w:r>
      <w:proofErr w:type="spellStart"/>
      <w:r w:rsidRPr="003F04C8">
        <w:rPr>
          <w:i/>
          <w:sz w:val="20"/>
          <w:szCs w:val="20"/>
        </w:rPr>
        <w:t>multistep</w:t>
      </w:r>
      <w:proofErr w:type="spellEnd"/>
      <w:r w:rsidRPr="003F04C8">
        <w:rPr>
          <w:i/>
          <w:sz w:val="20"/>
          <w:szCs w:val="20"/>
        </w:rPr>
        <w:t xml:space="preserve"> </w:t>
      </w:r>
      <w:proofErr w:type="spellStart"/>
      <w:r w:rsidRPr="003F04C8">
        <w:rPr>
          <w:i/>
          <w:sz w:val="20"/>
          <w:szCs w:val="20"/>
        </w:rPr>
        <w:t>outflow</w:t>
      </w:r>
      <w:proofErr w:type="spellEnd"/>
      <w:r w:rsidRPr="003F04C8">
        <w:rPr>
          <w:sz w:val="20"/>
          <w:szCs w:val="20"/>
        </w:rPr>
        <w:t xml:space="preserve"> (MSO) adapté à des échantillons de grande taille. Une vue d’ensemble du système est présentée en </w:t>
      </w:r>
      <w:r w:rsidR="00E831DE">
        <w:fldChar w:fldCharType="begin"/>
      </w:r>
      <w:r w:rsidR="00E831DE">
        <w:instrText xml:space="preserve"> REF _Ref392968795 \h  \* MERGEFORMAT </w:instrText>
      </w:r>
      <w:r w:rsidR="00E831DE">
        <w:fldChar w:fldCharType="separate"/>
      </w:r>
      <w:r w:rsidR="00055FF3" w:rsidRPr="00055FF3">
        <w:rPr>
          <w:b/>
          <w:sz w:val="20"/>
          <w:szCs w:val="20"/>
        </w:rPr>
        <w:t>Figure 1</w:t>
      </w:r>
      <w:r w:rsidR="00E831DE">
        <w:fldChar w:fldCharType="end"/>
      </w:r>
      <w:r w:rsidRPr="003F04C8">
        <w:rPr>
          <w:sz w:val="20"/>
          <w:szCs w:val="20"/>
        </w:rPr>
        <w:t xml:space="preserve">. L’échantillon est d’une part connecté à un réservoir d’eau afin de contrôler sa saturation par le bas selon le principe </w:t>
      </w:r>
      <w:r w:rsidR="00DB5EAE">
        <w:rPr>
          <w:sz w:val="20"/>
          <w:szCs w:val="20"/>
        </w:rPr>
        <w:t>du vase</w:t>
      </w:r>
      <w:r w:rsidRPr="003F04C8">
        <w:rPr>
          <w:sz w:val="20"/>
          <w:szCs w:val="20"/>
        </w:rPr>
        <w:t xml:space="preserve"> de Mariotte. La saturation par le bas permet de limiter le piégeage de bulles d’air dans les pores du sol. D’autre part, l’échantillon est connecté à une pompe à vide (VS Pro, Vacuum Controller System, UMS) et une fiole à vide afin de contrôler sa désaturation. Des tests ont montré que notre montage </w:t>
      </w:r>
      <w:r w:rsidR="00913C36" w:rsidRPr="003F04C8">
        <w:rPr>
          <w:sz w:val="20"/>
          <w:szCs w:val="20"/>
        </w:rPr>
        <w:t xml:space="preserve">MSO </w:t>
      </w:r>
      <w:r w:rsidRPr="003F04C8">
        <w:rPr>
          <w:sz w:val="20"/>
          <w:szCs w:val="20"/>
        </w:rPr>
        <w:t>pouvait fo</w:t>
      </w:r>
      <w:r w:rsidR="00913C36" w:rsidRPr="003F04C8">
        <w:rPr>
          <w:sz w:val="20"/>
          <w:szCs w:val="20"/>
        </w:rPr>
        <w:t xml:space="preserve">nctionner en dépression jusqu’à </w:t>
      </w:r>
      <w:r w:rsidR="00EA1D49" w:rsidRPr="003F04C8">
        <w:rPr>
          <w:sz w:val="20"/>
          <w:szCs w:val="20"/>
        </w:rPr>
        <w:t xml:space="preserve">- </w:t>
      </w:r>
      <w:r w:rsidR="00D234CF" w:rsidRPr="003F04C8">
        <w:rPr>
          <w:sz w:val="20"/>
          <w:szCs w:val="20"/>
        </w:rPr>
        <w:t xml:space="preserve">300 </w:t>
      </w:r>
      <w:r w:rsidRPr="003F04C8">
        <w:rPr>
          <w:sz w:val="20"/>
          <w:szCs w:val="20"/>
        </w:rPr>
        <w:t xml:space="preserve">cm d’eau. Une </w:t>
      </w:r>
      <w:r w:rsidR="00B767FF" w:rsidRPr="00D761CE">
        <w:rPr>
          <w:sz w:val="20"/>
          <w:szCs w:val="20"/>
        </w:rPr>
        <w:t>vanne</w:t>
      </w:r>
      <w:r w:rsidR="00B767FF" w:rsidRPr="003F04C8">
        <w:rPr>
          <w:sz w:val="20"/>
          <w:szCs w:val="20"/>
        </w:rPr>
        <w:t> </w:t>
      </w:r>
      <w:r w:rsidR="00BA7614">
        <w:rPr>
          <w:sz w:val="20"/>
          <w:szCs w:val="20"/>
        </w:rPr>
        <w:t xml:space="preserve"> </w:t>
      </w:r>
      <w:r w:rsidRPr="003F04C8">
        <w:rPr>
          <w:sz w:val="20"/>
          <w:szCs w:val="20"/>
        </w:rPr>
        <w:t xml:space="preserve">trois-voies permet le passage du circuit de saturation au circuit de désaturation. L’eau drainée est collectée dans la fiole à vide et sa quantité est suivie au cours du temps à l’aide d’une balance </w:t>
      </w:r>
      <w:r w:rsidRPr="00BF4A02">
        <w:rPr>
          <w:sz w:val="20"/>
          <w:szCs w:val="20"/>
          <w:highlight w:val="yellow"/>
        </w:rPr>
        <w:t>(</w:t>
      </w:r>
      <w:r w:rsidR="00BF4A02" w:rsidRPr="00BF4A02">
        <w:rPr>
          <w:sz w:val="20"/>
          <w:szCs w:val="20"/>
          <w:highlight w:val="yellow"/>
        </w:rPr>
        <w:t>Erreur Maximale Tolérée de ± 1 g</w:t>
      </w:r>
      <w:r w:rsidRPr="00BF4A02">
        <w:rPr>
          <w:sz w:val="20"/>
          <w:szCs w:val="20"/>
          <w:highlight w:val="yellow"/>
        </w:rPr>
        <w:t>).</w:t>
      </w:r>
      <w:r w:rsidRPr="003F04C8">
        <w:rPr>
          <w:sz w:val="20"/>
          <w:szCs w:val="20"/>
        </w:rPr>
        <w:t xml:space="preserve"> L’ensemble est relié par du tube en PVC souple transparent (</w:t>
      </w:r>
      <w:proofErr w:type="spellStart"/>
      <w:r w:rsidRPr="003F04C8">
        <w:rPr>
          <w:sz w:val="20"/>
          <w:szCs w:val="20"/>
        </w:rPr>
        <w:t>Tubclair</w:t>
      </w:r>
      <w:proofErr w:type="spellEnd"/>
      <w:r w:rsidRPr="003F04C8">
        <w:rPr>
          <w:sz w:val="20"/>
          <w:szCs w:val="20"/>
        </w:rPr>
        <w:t xml:space="preserve"> AL) de 3 mm de diamètre intérieur. Trois tensiomètres permettent la mesure du potentiel matriciel.</w:t>
      </w:r>
      <w:r w:rsidR="001C49BD" w:rsidRPr="003F04C8">
        <w:rPr>
          <w:sz w:val="20"/>
          <w:szCs w:val="20"/>
        </w:rPr>
        <w:t xml:space="preserve"> </w:t>
      </w:r>
    </w:p>
    <w:p w:rsidR="009D63E8" w:rsidRDefault="00055FF3" w:rsidP="00AC0650">
      <w:pPr>
        <w:pStyle w:val="texte"/>
        <w:jc w:val="center"/>
      </w:pPr>
      <w:r>
        <w:rPr>
          <w:noProof/>
          <w:lang w:eastAsia="fr-FR"/>
        </w:rPr>
        <w:lastRenderedPageBreak/>
        <w:drawing>
          <wp:inline distT="0" distB="0" distL="0" distR="0">
            <wp:extent cx="5760720" cy="2603871"/>
            <wp:effectExtent l="19050" t="0" r="0" b="0"/>
            <wp:docPr id="2" name="Image 1" descr="Y:\Département\IST\J2M photo\ART13_Rabot 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épartement\IST\J2M photo\ART13_Rabot fig 1.jpg"/>
                    <pic:cNvPicPr>
                      <a:picLocks noChangeAspect="1" noChangeArrowheads="1"/>
                    </pic:cNvPicPr>
                  </pic:nvPicPr>
                  <pic:blipFill>
                    <a:blip r:embed="rId9" cstate="print"/>
                    <a:srcRect/>
                    <a:stretch>
                      <a:fillRect/>
                    </a:stretch>
                  </pic:blipFill>
                  <pic:spPr bwMode="auto">
                    <a:xfrm>
                      <a:off x="0" y="0"/>
                      <a:ext cx="5760720" cy="2603871"/>
                    </a:xfrm>
                    <a:prstGeom prst="rect">
                      <a:avLst/>
                    </a:prstGeom>
                    <a:noFill/>
                    <a:ln w="9525">
                      <a:noFill/>
                      <a:miter lim="800000"/>
                      <a:headEnd/>
                      <a:tailEnd/>
                    </a:ln>
                  </pic:spPr>
                </pic:pic>
              </a:graphicData>
            </a:graphic>
          </wp:inline>
        </w:drawing>
      </w:r>
    </w:p>
    <w:p w:rsidR="009D63E8" w:rsidRPr="005B5960" w:rsidRDefault="009D63E8" w:rsidP="00223173">
      <w:pPr>
        <w:pStyle w:val="Lgende"/>
        <w:jc w:val="center"/>
      </w:pPr>
      <w:bookmarkStart w:id="0" w:name="_Ref392968795"/>
      <w:r w:rsidRPr="00EA466A">
        <w:rPr>
          <w:b/>
          <w:sz w:val="18"/>
        </w:rPr>
        <w:t xml:space="preserve">Figure </w:t>
      </w:r>
      <w:r w:rsidR="00124E04" w:rsidRPr="00EA466A">
        <w:rPr>
          <w:b/>
          <w:sz w:val="18"/>
        </w:rPr>
        <w:fldChar w:fldCharType="begin"/>
      </w:r>
      <w:r w:rsidRPr="00EA466A">
        <w:rPr>
          <w:b/>
          <w:sz w:val="18"/>
        </w:rPr>
        <w:instrText xml:space="preserve"> SEQ Figure \* ARABIC </w:instrText>
      </w:r>
      <w:r w:rsidR="00124E04" w:rsidRPr="00EA466A">
        <w:rPr>
          <w:b/>
          <w:sz w:val="18"/>
        </w:rPr>
        <w:fldChar w:fldCharType="separate"/>
      </w:r>
      <w:r w:rsidR="00055FF3">
        <w:rPr>
          <w:b/>
          <w:noProof/>
          <w:sz w:val="18"/>
        </w:rPr>
        <w:t>1</w:t>
      </w:r>
      <w:r w:rsidR="00124E04" w:rsidRPr="00EA466A">
        <w:rPr>
          <w:b/>
          <w:sz w:val="18"/>
        </w:rPr>
        <w:fldChar w:fldCharType="end"/>
      </w:r>
      <w:bookmarkEnd w:id="0"/>
      <w:r w:rsidRPr="00EA466A">
        <w:rPr>
          <w:b/>
          <w:sz w:val="18"/>
        </w:rPr>
        <w:t xml:space="preserve"> </w:t>
      </w:r>
      <w:r w:rsidR="00EA1D49" w:rsidRPr="00EA466A">
        <w:rPr>
          <w:b/>
          <w:sz w:val="18"/>
        </w:rPr>
        <w:t>.</w:t>
      </w:r>
      <w:r w:rsidRPr="00EA466A">
        <w:rPr>
          <w:sz w:val="18"/>
        </w:rPr>
        <w:t xml:space="preserve"> Vue d'ensemble du </w:t>
      </w:r>
      <w:r w:rsidR="00913C36" w:rsidRPr="00EA466A">
        <w:rPr>
          <w:sz w:val="18"/>
        </w:rPr>
        <w:t xml:space="preserve">couplage du </w:t>
      </w:r>
      <w:r w:rsidRPr="00EA466A">
        <w:rPr>
          <w:sz w:val="18"/>
        </w:rPr>
        <w:t xml:space="preserve">système de </w:t>
      </w:r>
      <w:proofErr w:type="spellStart"/>
      <w:r w:rsidRPr="00EA466A">
        <w:rPr>
          <w:sz w:val="18"/>
        </w:rPr>
        <w:t>multistep</w:t>
      </w:r>
      <w:proofErr w:type="spellEnd"/>
      <w:r w:rsidRPr="00EA466A">
        <w:rPr>
          <w:sz w:val="18"/>
        </w:rPr>
        <w:t xml:space="preserve"> </w:t>
      </w:r>
      <w:proofErr w:type="spellStart"/>
      <w:r w:rsidRPr="00EA466A">
        <w:rPr>
          <w:sz w:val="18"/>
        </w:rPr>
        <w:t>outflow</w:t>
      </w:r>
      <w:proofErr w:type="spellEnd"/>
      <w:r w:rsidRPr="00EA466A">
        <w:rPr>
          <w:sz w:val="18"/>
        </w:rPr>
        <w:t xml:space="preserve"> pour le contrôle de la dynamique hydrique</w:t>
      </w:r>
      <w:r w:rsidR="00EA466A">
        <w:rPr>
          <w:sz w:val="18"/>
        </w:rPr>
        <w:br/>
      </w:r>
      <w:r w:rsidRPr="00EA466A">
        <w:rPr>
          <w:sz w:val="18"/>
        </w:rPr>
        <w:t xml:space="preserve"> et </w:t>
      </w:r>
      <w:r w:rsidR="00913C36" w:rsidRPr="00EA466A">
        <w:rPr>
          <w:sz w:val="18"/>
        </w:rPr>
        <w:t xml:space="preserve">de </w:t>
      </w:r>
      <w:r w:rsidRPr="00EA466A">
        <w:rPr>
          <w:sz w:val="18"/>
        </w:rPr>
        <w:t>la mesure des flux de protoxyde d’azote</w:t>
      </w:r>
      <w:r>
        <w:t>.</w:t>
      </w:r>
    </w:p>
    <w:p w:rsidR="009D63E8" w:rsidRPr="003F04C8" w:rsidRDefault="00D234CF" w:rsidP="00223173">
      <w:pPr>
        <w:pStyle w:val="texte"/>
        <w:rPr>
          <w:sz w:val="20"/>
          <w:szCs w:val="20"/>
        </w:rPr>
      </w:pPr>
      <w:r w:rsidRPr="003F04C8">
        <w:rPr>
          <w:sz w:val="20"/>
          <w:szCs w:val="20"/>
        </w:rPr>
        <w:t xml:space="preserve">Une vue détaillée du montage étanche de l’échantillon de sol sur le banc MSO est donnée en </w:t>
      </w:r>
      <w:r w:rsidR="00E831DE">
        <w:fldChar w:fldCharType="begin"/>
      </w:r>
      <w:r w:rsidR="00E831DE">
        <w:instrText xml:space="preserve"> REF _Ref393048755 \h  \* MERGEFORMAT </w:instrText>
      </w:r>
      <w:r w:rsidR="00E831DE">
        <w:fldChar w:fldCharType="separate"/>
      </w:r>
      <w:r w:rsidR="00055FF3" w:rsidRPr="00055FF3">
        <w:rPr>
          <w:b/>
          <w:sz w:val="20"/>
          <w:szCs w:val="20"/>
        </w:rPr>
        <w:t>Figure 2</w:t>
      </w:r>
      <w:r w:rsidR="00E831DE">
        <w:fldChar w:fldCharType="end"/>
      </w:r>
      <w:r w:rsidRPr="003F04C8">
        <w:rPr>
          <w:b/>
          <w:sz w:val="20"/>
          <w:szCs w:val="20"/>
        </w:rPr>
        <w:t>.</w:t>
      </w:r>
      <w:r w:rsidRPr="003F04C8">
        <w:rPr>
          <w:sz w:val="20"/>
          <w:szCs w:val="20"/>
        </w:rPr>
        <w:t xml:space="preserve"> </w:t>
      </w:r>
      <w:r w:rsidR="009D63E8" w:rsidRPr="003F04C8">
        <w:rPr>
          <w:sz w:val="20"/>
          <w:szCs w:val="20"/>
        </w:rPr>
        <w:t xml:space="preserve">L’échantillon de sol est prélevé dans un cylindre en acier inoxydable de 15 cm de diamètre pour 7 cm de hauteur. Il est installé sur le banc MSO après avoir été arasé </w:t>
      </w:r>
      <w:r w:rsidR="00913C36" w:rsidRPr="003F04C8">
        <w:rPr>
          <w:sz w:val="20"/>
          <w:szCs w:val="20"/>
        </w:rPr>
        <w:t>à ses deux extrémités</w:t>
      </w:r>
      <w:r w:rsidR="009D63E8" w:rsidRPr="003F04C8">
        <w:rPr>
          <w:sz w:val="20"/>
          <w:szCs w:val="20"/>
        </w:rPr>
        <w:t>. La connexion hydraulique entre le bas de l’échantillon et le système de désaturation est assurée par une céramique poreuse (</w:t>
      </w:r>
      <w:proofErr w:type="spellStart"/>
      <w:r w:rsidR="009D63E8" w:rsidRPr="003F04C8">
        <w:rPr>
          <w:sz w:val="20"/>
          <w:szCs w:val="20"/>
        </w:rPr>
        <w:t>Soilmoisture</w:t>
      </w:r>
      <w:proofErr w:type="spellEnd"/>
      <w:r w:rsidR="009D63E8" w:rsidRPr="003F04C8">
        <w:rPr>
          <w:sz w:val="20"/>
          <w:szCs w:val="20"/>
        </w:rPr>
        <w:t xml:space="preserve"> Equipment Corp.). La céramique utilisée possède un point d’entrée d’air de 100 kPa, et existe dans une version </w:t>
      </w:r>
      <w:proofErr w:type="spellStart"/>
      <w:r w:rsidR="009D63E8" w:rsidRPr="003F04C8">
        <w:rPr>
          <w:i/>
          <w:sz w:val="20"/>
          <w:szCs w:val="20"/>
        </w:rPr>
        <w:t>high</w:t>
      </w:r>
      <w:proofErr w:type="spellEnd"/>
      <w:r w:rsidR="009D63E8" w:rsidRPr="003F04C8">
        <w:rPr>
          <w:i/>
          <w:sz w:val="20"/>
          <w:szCs w:val="20"/>
        </w:rPr>
        <w:t xml:space="preserve"> flow</w:t>
      </w:r>
      <w:r w:rsidR="009D63E8" w:rsidRPr="003F04C8">
        <w:rPr>
          <w:sz w:val="20"/>
          <w:szCs w:val="20"/>
        </w:rPr>
        <w:t xml:space="preserve"> (conductivité hydraulique à saturation de 8</w:t>
      </w:r>
      <w:r w:rsidR="00EA1D49" w:rsidRPr="003F04C8">
        <w:rPr>
          <w:sz w:val="20"/>
          <w:szCs w:val="20"/>
        </w:rPr>
        <w:t>,</w:t>
      </w:r>
      <w:r w:rsidR="009D63E8" w:rsidRPr="003F04C8">
        <w:rPr>
          <w:sz w:val="20"/>
          <w:szCs w:val="20"/>
        </w:rPr>
        <w:t>6 × 10</w:t>
      </w:r>
      <w:r w:rsidR="009D63E8" w:rsidRPr="003F04C8">
        <w:rPr>
          <w:sz w:val="20"/>
          <w:szCs w:val="20"/>
          <w:vertAlign w:val="superscript"/>
        </w:rPr>
        <w:t>–8</w:t>
      </w:r>
      <w:r w:rsidR="009D63E8" w:rsidRPr="003F04C8">
        <w:rPr>
          <w:sz w:val="20"/>
          <w:szCs w:val="20"/>
        </w:rPr>
        <w:t xml:space="preserve"> </w:t>
      </w:r>
      <w:proofErr w:type="spellStart"/>
      <w:r w:rsidR="009D63E8" w:rsidRPr="003F04C8">
        <w:rPr>
          <w:sz w:val="20"/>
          <w:szCs w:val="20"/>
        </w:rPr>
        <w:t>m.s</w:t>
      </w:r>
      <w:proofErr w:type="spellEnd"/>
      <w:r w:rsidR="009D63E8" w:rsidRPr="003F04C8">
        <w:rPr>
          <w:sz w:val="20"/>
          <w:szCs w:val="20"/>
          <w:vertAlign w:val="superscript"/>
        </w:rPr>
        <w:t>–1</w:t>
      </w:r>
      <w:r w:rsidR="009D63E8" w:rsidRPr="003F04C8">
        <w:rPr>
          <w:sz w:val="20"/>
          <w:szCs w:val="20"/>
        </w:rPr>
        <w:t xml:space="preserve">) et </w:t>
      </w:r>
      <w:r w:rsidR="009D63E8" w:rsidRPr="003F04C8">
        <w:rPr>
          <w:i/>
          <w:sz w:val="20"/>
          <w:szCs w:val="20"/>
        </w:rPr>
        <w:t>standard flow</w:t>
      </w:r>
      <w:r w:rsidR="009D63E8" w:rsidRPr="003F04C8">
        <w:rPr>
          <w:sz w:val="20"/>
          <w:szCs w:val="20"/>
        </w:rPr>
        <w:t xml:space="preserve"> (conductivité hydraulique à saturation de 7</w:t>
      </w:r>
      <w:r w:rsidR="00EA1D49" w:rsidRPr="003F04C8">
        <w:rPr>
          <w:sz w:val="20"/>
          <w:szCs w:val="20"/>
        </w:rPr>
        <w:t>,</w:t>
      </w:r>
      <w:r w:rsidR="009D63E8" w:rsidRPr="003F04C8">
        <w:rPr>
          <w:sz w:val="20"/>
          <w:szCs w:val="20"/>
        </w:rPr>
        <w:t>6 × 10</w:t>
      </w:r>
      <w:r w:rsidR="009D63E8" w:rsidRPr="003F04C8">
        <w:rPr>
          <w:sz w:val="20"/>
          <w:szCs w:val="20"/>
          <w:vertAlign w:val="superscript"/>
        </w:rPr>
        <w:t>–9</w:t>
      </w:r>
      <w:r w:rsidR="009D63E8" w:rsidRPr="003F04C8">
        <w:rPr>
          <w:sz w:val="20"/>
          <w:szCs w:val="20"/>
        </w:rPr>
        <w:t xml:space="preserve"> </w:t>
      </w:r>
      <w:proofErr w:type="spellStart"/>
      <w:r w:rsidR="009D63E8" w:rsidRPr="003F04C8">
        <w:rPr>
          <w:sz w:val="20"/>
          <w:szCs w:val="20"/>
        </w:rPr>
        <w:t>m.s</w:t>
      </w:r>
      <w:proofErr w:type="spellEnd"/>
      <w:r w:rsidR="009D63E8" w:rsidRPr="003F04C8">
        <w:rPr>
          <w:sz w:val="20"/>
          <w:szCs w:val="20"/>
          <w:vertAlign w:val="superscript"/>
        </w:rPr>
        <w:t>–1</w:t>
      </w:r>
      <w:r w:rsidR="009D63E8" w:rsidRPr="003F04C8">
        <w:rPr>
          <w:sz w:val="20"/>
          <w:szCs w:val="20"/>
        </w:rPr>
        <w:t>). D’autres caractéristiques hydrauliques peuvent être utilisées selon les gammes de potentiels matriciels ciblées. Le diamètre de la céramique est de 15</w:t>
      </w:r>
      <w:r w:rsidR="00EA1D49" w:rsidRPr="003F04C8">
        <w:rPr>
          <w:sz w:val="20"/>
          <w:szCs w:val="20"/>
        </w:rPr>
        <w:t>,</w:t>
      </w:r>
      <w:r w:rsidR="009D63E8" w:rsidRPr="003F04C8">
        <w:rPr>
          <w:sz w:val="20"/>
          <w:szCs w:val="20"/>
        </w:rPr>
        <w:t>5 cm. Elle doit être lentement saturée en eau</w:t>
      </w:r>
      <w:r w:rsidR="00D65418" w:rsidRPr="003F04C8">
        <w:rPr>
          <w:sz w:val="20"/>
          <w:szCs w:val="20"/>
        </w:rPr>
        <w:t xml:space="preserve"> dégazée</w:t>
      </w:r>
      <w:r w:rsidR="009D63E8" w:rsidRPr="003F04C8">
        <w:rPr>
          <w:sz w:val="20"/>
          <w:szCs w:val="20"/>
        </w:rPr>
        <w:t xml:space="preserve"> hors du banc MSO avant d’être utilisée. L’ensemble céramique-cylindre de sol est placé sur un entonnoir surmonté d’un support percé. Il est important qu’il n’existe pas de flux d’eau préférentiels sur les côtés de la céramique poreuse afin que la saturation de l’échantillon de sol soit homogène. Un système d’étanchéité a ainsi été développé. Un joint en polyuréthane sur-mesure est placé à la jonction céramique-cylindre. Il est entouré d’un collier en PVC, puis d’un collier de serrage métallique. Enfin, un ruban de silicone entre le collier en PVC et le support percé permet de compléter l’étanchéité. Le support percé est doté d’un système de piégeage des bulles d’air. En effet, la présence de bulles d’air bloquées dans l’entonnoir condui</w:t>
      </w:r>
      <w:r w:rsidR="00913C36" w:rsidRPr="003F04C8">
        <w:rPr>
          <w:sz w:val="20"/>
          <w:szCs w:val="20"/>
        </w:rPr>
        <w:t>rai</w:t>
      </w:r>
      <w:r w:rsidR="009D63E8" w:rsidRPr="003F04C8">
        <w:rPr>
          <w:sz w:val="20"/>
          <w:szCs w:val="20"/>
        </w:rPr>
        <w:t>t à réduire la surface de contact entre l’eau et la céramique poreuse et affecte</w:t>
      </w:r>
      <w:r w:rsidR="00913C36" w:rsidRPr="003F04C8">
        <w:rPr>
          <w:sz w:val="20"/>
          <w:szCs w:val="20"/>
        </w:rPr>
        <w:t>rait</w:t>
      </w:r>
      <w:r w:rsidR="009D63E8" w:rsidRPr="003F04C8">
        <w:rPr>
          <w:sz w:val="20"/>
          <w:szCs w:val="20"/>
        </w:rPr>
        <w:t xml:space="preserve"> la vitesse et la qualité de la saturation de l’échantillon. Un capillaire est ainsi inséré à la surface de l’entonnoir et permet d’évacuer l’air à mesure que l’entonnoir se rempli</w:t>
      </w:r>
      <w:r w:rsidR="00C67990" w:rsidRPr="003F04C8">
        <w:rPr>
          <w:sz w:val="20"/>
          <w:szCs w:val="20"/>
        </w:rPr>
        <w:t>t</w:t>
      </w:r>
      <w:r w:rsidR="009D63E8" w:rsidRPr="003F04C8">
        <w:rPr>
          <w:sz w:val="20"/>
          <w:szCs w:val="20"/>
        </w:rPr>
        <w:t xml:space="preserve"> d’eau. Lorsqu’il y a débordement, l’entonnoir est supposé saturé et le capillaire du piège à bulles est bouché. Des tubages </w:t>
      </w:r>
      <w:r w:rsidR="005B155D" w:rsidRPr="003F04C8">
        <w:rPr>
          <w:sz w:val="20"/>
          <w:szCs w:val="20"/>
        </w:rPr>
        <w:t>en plastique</w:t>
      </w:r>
      <w:r w:rsidR="009D63E8" w:rsidRPr="003F04C8">
        <w:rPr>
          <w:sz w:val="20"/>
          <w:szCs w:val="20"/>
        </w:rPr>
        <w:t xml:space="preserve"> permettent de rediriger l’eau de débordement vers le réservoir d’eau.</w:t>
      </w:r>
    </w:p>
    <w:p w:rsidR="009D63E8" w:rsidRDefault="009D63E8" w:rsidP="00AC0650">
      <w:pPr>
        <w:pStyle w:val="texte"/>
        <w:jc w:val="center"/>
      </w:pPr>
      <w:r>
        <w:rPr>
          <w:noProof/>
          <w:lang w:eastAsia="fr-FR"/>
        </w:rPr>
        <w:drawing>
          <wp:inline distT="0" distB="0" distL="0" distR="0">
            <wp:extent cx="4279579" cy="2016000"/>
            <wp:effectExtent l="19050" t="0" r="6671" b="0"/>
            <wp:docPr id="4" name="Image 3" descr="cylindre_vue_eclat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lindre_vue_eclatee.jpg"/>
                    <pic:cNvPicPr/>
                  </pic:nvPicPr>
                  <pic:blipFill>
                    <a:blip r:embed="rId10" cstate="print"/>
                    <a:srcRect t="10095"/>
                    <a:stretch>
                      <a:fillRect/>
                    </a:stretch>
                  </pic:blipFill>
                  <pic:spPr>
                    <a:xfrm>
                      <a:off x="0" y="0"/>
                      <a:ext cx="4279579" cy="2016000"/>
                    </a:xfrm>
                    <a:prstGeom prst="rect">
                      <a:avLst/>
                    </a:prstGeom>
                  </pic:spPr>
                </pic:pic>
              </a:graphicData>
            </a:graphic>
          </wp:inline>
        </w:drawing>
      </w:r>
    </w:p>
    <w:p w:rsidR="009D63E8" w:rsidRPr="00EA466A" w:rsidRDefault="009D63E8" w:rsidP="00223173">
      <w:pPr>
        <w:pStyle w:val="Lgende"/>
        <w:jc w:val="center"/>
        <w:rPr>
          <w:sz w:val="18"/>
        </w:rPr>
      </w:pPr>
      <w:bookmarkStart w:id="1" w:name="_Ref393048755"/>
      <w:r w:rsidRPr="00EA466A">
        <w:rPr>
          <w:b/>
          <w:sz w:val="18"/>
        </w:rPr>
        <w:t xml:space="preserve">Figure </w:t>
      </w:r>
      <w:r w:rsidR="00124E04" w:rsidRPr="00EA466A">
        <w:rPr>
          <w:b/>
          <w:sz w:val="18"/>
        </w:rPr>
        <w:fldChar w:fldCharType="begin"/>
      </w:r>
      <w:r w:rsidRPr="00EA466A">
        <w:rPr>
          <w:b/>
          <w:sz w:val="18"/>
        </w:rPr>
        <w:instrText xml:space="preserve"> SEQ Figure \* ARABIC </w:instrText>
      </w:r>
      <w:r w:rsidR="00124E04" w:rsidRPr="00EA466A">
        <w:rPr>
          <w:b/>
          <w:sz w:val="18"/>
        </w:rPr>
        <w:fldChar w:fldCharType="separate"/>
      </w:r>
      <w:r w:rsidR="00055FF3">
        <w:rPr>
          <w:b/>
          <w:noProof/>
          <w:sz w:val="18"/>
        </w:rPr>
        <w:t>2</w:t>
      </w:r>
      <w:r w:rsidR="00124E04" w:rsidRPr="00EA466A">
        <w:rPr>
          <w:b/>
          <w:sz w:val="18"/>
        </w:rPr>
        <w:fldChar w:fldCharType="end"/>
      </w:r>
      <w:bookmarkEnd w:id="1"/>
      <w:r w:rsidRPr="00EA466A">
        <w:rPr>
          <w:b/>
          <w:sz w:val="18"/>
        </w:rPr>
        <w:t xml:space="preserve"> </w:t>
      </w:r>
      <w:r w:rsidR="00EA1D49" w:rsidRPr="00EA466A">
        <w:rPr>
          <w:b/>
          <w:sz w:val="18"/>
        </w:rPr>
        <w:t>.</w:t>
      </w:r>
      <w:r w:rsidRPr="00EA466A">
        <w:rPr>
          <w:sz w:val="18"/>
        </w:rPr>
        <w:t xml:space="preserve"> Vue en coupe </w:t>
      </w:r>
      <w:r w:rsidR="008929BC" w:rsidRPr="00EA466A">
        <w:rPr>
          <w:sz w:val="18"/>
        </w:rPr>
        <w:t xml:space="preserve">partielle </w:t>
      </w:r>
      <w:r w:rsidRPr="00EA466A">
        <w:rPr>
          <w:sz w:val="18"/>
        </w:rPr>
        <w:t xml:space="preserve">du montage étanche de l'échantillon de sol sur le banc de </w:t>
      </w:r>
      <w:proofErr w:type="spellStart"/>
      <w:r w:rsidRPr="00EA466A">
        <w:rPr>
          <w:sz w:val="18"/>
        </w:rPr>
        <w:t>multistep</w:t>
      </w:r>
      <w:proofErr w:type="spellEnd"/>
      <w:r w:rsidRPr="00EA466A">
        <w:rPr>
          <w:sz w:val="18"/>
        </w:rPr>
        <w:t xml:space="preserve"> </w:t>
      </w:r>
      <w:proofErr w:type="spellStart"/>
      <w:r w:rsidRPr="00EA466A">
        <w:rPr>
          <w:sz w:val="18"/>
        </w:rPr>
        <w:t>outflow</w:t>
      </w:r>
      <w:proofErr w:type="spellEnd"/>
      <w:r w:rsidRPr="00EA466A">
        <w:rPr>
          <w:sz w:val="18"/>
        </w:rPr>
        <w:t>.</w:t>
      </w:r>
    </w:p>
    <w:p w:rsidR="009D63E8" w:rsidRPr="009B7ABF" w:rsidRDefault="009D63E8" w:rsidP="00223173">
      <w:pPr>
        <w:pStyle w:val="titreniveau3"/>
      </w:pPr>
      <w:r w:rsidRPr="009B7ABF">
        <w:lastRenderedPageBreak/>
        <w:t>Instrumentation</w:t>
      </w:r>
    </w:p>
    <w:p w:rsidR="002A7F4B" w:rsidRPr="003F04C8" w:rsidRDefault="009D63E8" w:rsidP="002A7F4B">
      <w:pPr>
        <w:pStyle w:val="texte"/>
        <w:rPr>
          <w:sz w:val="20"/>
          <w:szCs w:val="20"/>
        </w:rPr>
      </w:pPr>
      <w:r w:rsidRPr="003F04C8">
        <w:rPr>
          <w:sz w:val="20"/>
          <w:szCs w:val="20"/>
        </w:rPr>
        <w:t xml:space="preserve">L’échantillon est instrumenté à l’aide de trois </w:t>
      </w:r>
      <w:proofErr w:type="spellStart"/>
      <w:r w:rsidRPr="003F04C8">
        <w:rPr>
          <w:sz w:val="20"/>
          <w:szCs w:val="20"/>
        </w:rPr>
        <w:t>microtensiomètres</w:t>
      </w:r>
      <w:proofErr w:type="spellEnd"/>
      <w:r w:rsidRPr="003F04C8">
        <w:rPr>
          <w:sz w:val="20"/>
          <w:szCs w:val="20"/>
        </w:rPr>
        <w:t xml:space="preserve"> </w:t>
      </w:r>
      <w:r w:rsidR="00C663FF" w:rsidRPr="003F04C8">
        <w:rPr>
          <w:sz w:val="20"/>
          <w:szCs w:val="20"/>
        </w:rPr>
        <w:t xml:space="preserve">constitués d’une </w:t>
      </w:r>
      <w:r w:rsidRPr="003F04C8">
        <w:rPr>
          <w:sz w:val="20"/>
          <w:szCs w:val="20"/>
        </w:rPr>
        <w:t>céramique poreuse</w:t>
      </w:r>
      <w:r w:rsidR="00C663FF" w:rsidRPr="003F04C8">
        <w:rPr>
          <w:sz w:val="20"/>
          <w:szCs w:val="20"/>
        </w:rPr>
        <w:t xml:space="preserve"> (</w:t>
      </w:r>
      <w:r w:rsidRPr="003F04C8">
        <w:rPr>
          <w:sz w:val="20"/>
          <w:szCs w:val="20"/>
        </w:rPr>
        <w:t>20 mm de longueur</w:t>
      </w:r>
      <w:r w:rsidR="00C663FF" w:rsidRPr="003F04C8">
        <w:rPr>
          <w:sz w:val="20"/>
          <w:szCs w:val="20"/>
        </w:rPr>
        <w:t xml:space="preserve">, </w:t>
      </w:r>
      <w:r w:rsidRPr="003F04C8">
        <w:rPr>
          <w:sz w:val="20"/>
          <w:szCs w:val="20"/>
        </w:rPr>
        <w:t>2</w:t>
      </w:r>
      <w:r w:rsidR="00EA1D49" w:rsidRPr="003F04C8">
        <w:rPr>
          <w:sz w:val="20"/>
          <w:szCs w:val="20"/>
        </w:rPr>
        <w:t>,</w:t>
      </w:r>
      <w:r w:rsidRPr="003F04C8">
        <w:rPr>
          <w:sz w:val="20"/>
          <w:szCs w:val="20"/>
        </w:rPr>
        <w:t>2 mm de diamètre, 150 kPa de point d’entré</w:t>
      </w:r>
      <w:r w:rsidR="00C663FF" w:rsidRPr="003F04C8">
        <w:rPr>
          <w:sz w:val="20"/>
          <w:szCs w:val="20"/>
        </w:rPr>
        <w:t xml:space="preserve">e d’air) et d’un tube capillaire Nylon. Les </w:t>
      </w:r>
      <w:proofErr w:type="spellStart"/>
      <w:r w:rsidR="00C663FF" w:rsidRPr="003F04C8">
        <w:rPr>
          <w:sz w:val="20"/>
          <w:szCs w:val="20"/>
        </w:rPr>
        <w:t>microtensiomètres</w:t>
      </w:r>
      <w:proofErr w:type="spellEnd"/>
      <w:r w:rsidR="00C663FF" w:rsidRPr="003F04C8">
        <w:rPr>
          <w:sz w:val="20"/>
          <w:szCs w:val="20"/>
        </w:rPr>
        <w:t xml:space="preserve"> sont</w:t>
      </w:r>
      <w:r w:rsidRPr="003F04C8">
        <w:rPr>
          <w:sz w:val="20"/>
          <w:szCs w:val="20"/>
        </w:rPr>
        <w:t xml:space="preserve"> insérés à environ 0</w:t>
      </w:r>
      <w:r w:rsidR="00EA1D49" w:rsidRPr="003F04C8">
        <w:rPr>
          <w:sz w:val="20"/>
          <w:szCs w:val="20"/>
        </w:rPr>
        <w:t>,</w:t>
      </w:r>
      <w:r w:rsidRPr="003F04C8">
        <w:rPr>
          <w:sz w:val="20"/>
          <w:szCs w:val="20"/>
        </w:rPr>
        <w:t>5</w:t>
      </w:r>
      <w:r w:rsidR="009C09A2" w:rsidRPr="003F04C8">
        <w:rPr>
          <w:sz w:val="20"/>
          <w:szCs w:val="20"/>
        </w:rPr>
        <w:t xml:space="preserve"> cm</w:t>
      </w:r>
      <w:r w:rsidRPr="003F04C8">
        <w:rPr>
          <w:sz w:val="20"/>
          <w:szCs w:val="20"/>
        </w:rPr>
        <w:t xml:space="preserve">, 1 et 2 cm de la surface du sol. Leur profondeur est mesurée très précisément pour retrancher </w:t>
      </w:r>
      <w:r w:rsidRPr="003F04C8">
        <w:rPr>
          <w:i/>
          <w:sz w:val="20"/>
          <w:szCs w:val="20"/>
        </w:rPr>
        <w:t>a posteriori</w:t>
      </w:r>
      <w:r w:rsidRPr="003F04C8">
        <w:rPr>
          <w:sz w:val="20"/>
          <w:szCs w:val="20"/>
        </w:rPr>
        <w:t xml:space="preserve"> le potentiel gravitaire lié à leur altitude de la valeur du potentiel total mesuré. Les </w:t>
      </w:r>
      <w:proofErr w:type="spellStart"/>
      <w:r w:rsidR="005125DF" w:rsidRPr="003F04C8">
        <w:rPr>
          <w:sz w:val="20"/>
          <w:szCs w:val="20"/>
        </w:rPr>
        <w:t>micro</w:t>
      </w:r>
      <w:r w:rsidRPr="003F04C8">
        <w:rPr>
          <w:sz w:val="20"/>
          <w:szCs w:val="20"/>
        </w:rPr>
        <w:t>tensiomètres</w:t>
      </w:r>
      <w:proofErr w:type="spellEnd"/>
      <w:r w:rsidRPr="003F04C8">
        <w:rPr>
          <w:sz w:val="20"/>
          <w:szCs w:val="20"/>
        </w:rPr>
        <w:t xml:space="preserve"> doivent préalablement être saturés à l’aide d’eau dégazée pour éviter la formation de bulles d’air. </w:t>
      </w:r>
      <w:r w:rsidRPr="00BF4A02">
        <w:rPr>
          <w:sz w:val="20"/>
          <w:szCs w:val="20"/>
          <w:highlight w:val="yellow"/>
        </w:rPr>
        <w:t>Ils sont reliés à un bo</w:t>
      </w:r>
      <w:r w:rsidR="009C09A2" w:rsidRPr="00BF4A02">
        <w:rPr>
          <w:sz w:val="20"/>
          <w:szCs w:val="20"/>
          <w:highlight w:val="yellow"/>
        </w:rPr>
        <w:t>î</w:t>
      </w:r>
      <w:r w:rsidRPr="00BF4A02">
        <w:rPr>
          <w:sz w:val="20"/>
          <w:szCs w:val="20"/>
          <w:highlight w:val="yellow"/>
        </w:rPr>
        <w:t>tier équipé</w:t>
      </w:r>
      <w:r w:rsidR="00913C36" w:rsidRPr="00BF4A02">
        <w:rPr>
          <w:sz w:val="20"/>
          <w:szCs w:val="20"/>
          <w:highlight w:val="yellow"/>
        </w:rPr>
        <w:t xml:space="preserve"> de capteurs de pression</w:t>
      </w:r>
      <w:r w:rsidR="005125DF" w:rsidRPr="00BF4A02">
        <w:rPr>
          <w:sz w:val="20"/>
          <w:szCs w:val="20"/>
          <w:highlight w:val="yellow"/>
        </w:rPr>
        <w:t xml:space="preserve"> différentiels, utilisant un principe </w:t>
      </w:r>
      <w:proofErr w:type="spellStart"/>
      <w:r w:rsidR="005125DF" w:rsidRPr="00BF4A02">
        <w:rPr>
          <w:sz w:val="20"/>
          <w:szCs w:val="20"/>
          <w:highlight w:val="yellow"/>
        </w:rPr>
        <w:t>piézorésistif</w:t>
      </w:r>
      <w:proofErr w:type="spellEnd"/>
      <w:r w:rsidR="005125DF" w:rsidRPr="00BF4A02">
        <w:rPr>
          <w:sz w:val="20"/>
          <w:szCs w:val="20"/>
          <w:highlight w:val="yellow"/>
        </w:rPr>
        <w:t>, d’une étendue de mesure de 100</w:t>
      </w:r>
      <w:r w:rsidR="00AC0650" w:rsidRPr="00BF4A02">
        <w:rPr>
          <w:sz w:val="20"/>
          <w:szCs w:val="20"/>
          <w:highlight w:val="yellow"/>
        </w:rPr>
        <w:t> </w:t>
      </w:r>
      <w:r w:rsidR="005125DF" w:rsidRPr="00BF4A02">
        <w:rPr>
          <w:sz w:val="20"/>
          <w:szCs w:val="20"/>
          <w:highlight w:val="yellow"/>
        </w:rPr>
        <w:t>kPa.</w:t>
      </w:r>
      <w:r w:rsidR="00BF4A02">
        <w:rPr>
          <w:sz w:val="20"/>
          <w:szCs w:val="20"/>
          <w:highlight w:val="yellow"/>
        </w:rPr>
        <w:t xml:space="preserve"> Ce dispositif micro-</w:t>
      </w:r>
      <w:proofErr w:type="spellStart"/>
      <w:r w:rsidR="00BF4A02">
        <w:rPr>
          <w:sz w:val="20"/>
          <w:szCs w:val="20"/>
          <w:highlight w:val="yellow"/>
        </w:rPr>
        <w:t>tensiométrique</w:t>
      </w:r>
      <w:proofErr w:type="spellEnd"/>
      <w:r w:rsidR="00BF4A02">
        <w:rPr>
          <w:sz w:val="20"/>
          <w:szCs w:val="20"/>
          <w:highlight w:val="yellow"/>
        </w:rPr>
        <w:t>, développé par l’INRA d’Avignon</w:t>
      </w:r>
      <w:r w:rsidR="00CD1127">
        <w:rPr>
          <w:sz w:val="20"/>
          <w:szCs w:val="20"/>
          <w:highlight w:val="yellow"/>
        </w:rPr>
        <w:t xml:space="preserve"> (</w:t>
      </w:r>
      <w:proofErr w:type="spellStart"/>
      <w:r w:rsidR="00CD1127">
        <w:rPr>
          <w:sz w:val="20"/>
          <w:szCs w:val="20"/>
          <w:highlight w:val="yellow"/>
        </w:rPr>
        <w:t>Gaudu</w:t>
      </w:r>
      <w:proofErr w:type="spellEnd"/>
      <w:r w:rsidR="00CD1127">
        <w:rPr>
          <w:sz w:val="20"/>
          <w:szCs w:val="20"/>
          <w:highlight w:val="yellow"/>
        </w:rPr>
        <w:t xml:space="preserve"> et </w:t>
      </w:r>
      <w:proofErr w:type="gramStart"/>
      <w:r w:rsidR="00CD1127">
        <w:rPr>
          <w:sz w:val="20"/>
          <w:szCs w:val="20"/>
          <w:highlight w:val="yellow"/>
        </w:rPr>
        <w:t>al.,</w:t>
      </w:r>
      <w:proofErr w:type="gramEnd"/>
      <w:r w:rsidR="00CD1127">
        <w:rPr>
          <w:sz w:val="20"/>
          <w:szCs w:val="20"/>
          <w:highlight w:val="yellow"/>
        </w:rPr>
        <w:t xml:space="preserve"> 2006)</w:t>
      </w:r>
      <w:r w:rsidR="00BF4A02">
        <w:rPr>
          <w:sz w:val="20"/>
          <w:szCs w:val="20"/>
          <w:highlight w:val="yellow"/>
        </w:rPr>
        <w:t>, est commercialisé par la société SDEC</w:t>
      </w:r>
      <w:r w:rsidR="005125DF" w:rsidRPr="00BF4A02">
        <w:rPr>
          <w:sz w:val="20"/>
          <w:szCs w:val="20"/>
          <w:highlight w:val="yellow"/>
        </w:rPr>
        <w:t>.</w:t>
      </w:r>
      <w:r w:rsidR="005125DF" w:rsidRPr="003F04C8">
        <w:rPr>
          <w:sz w:val="20"/>
          <w:szCs w:val="20"/>
        </w:rPr>
        <w:t xml:space="preserve"> Les capteurs sont étalonnés</w:t>
      </w:r>
      <w:r w:rsidR="004629FE" w:rsidRPr="003F04C8">
        <w:rPr>
          <w:sz w:val="20"/>
          <w:szCs w:val="20"/>
        </w:rPr>
        <w:t xml:space="preserve"> dans la gamme 0 à</w:t>
      </w:r>
      <w:r w:rsidR="00AC0650" w:rsidRPr="003F04C8">
        <w:rPr>
          <w:sz w:val="20"/>
          <w:szCs w:val="20"/>
        </w:rPr>
        <w:t xml:space="preserve"> </w:t>
      </w:r>
      <w:r w:rsidR="009C09A2" w:rsidRPr="003F04C8">
        <w:rPr>
          <w:sz w:val="20"/>
          <w:szCs w:val="20"/>
        </w:rPr>
        <w:t xml:space="preserve">- </w:t>
      </w:r>
      <w:r w:rsidR="004629FE" w:rsidRPr="003F04C8">
        <w:rPr>
          <w:sz w:val="20"/>
          <w:szCs w:val="20"/>
        </w:rPr>
        <w:t>8</w:t>
      </w:r>
      <w:r w:rsidR="00B57C02" w:rsidRPr="003F04C8">
        <w:rPr>
          <w:sz w:val="20"/>
          <w:szCs w:val="20"/>
        </w:rPr>
        <w:t>00</w:t>
      </w:r>
      <w:r w:rsidR="004629FE" w:rsidRPr="003F04C8">
        <w:rPr>
          <w:sz w:val="20"/>
          <w:szCs w:val="20"/>
        </w:rPr>
        <w:t xml:space="preserve"> </w:t>
      </w:r>
      <w:r w:rsidR="00B57C02" w:rsidRPr="003F04C8">
        <w:rPr>
          <w:sz w:val="20"/>
          <w:szCs w:val="20"/>
        </w:rPr>
        <w:t>cm</w:t>
      </w:r>
      <w:r w:rsidR="004629FE" w:rsidRPr="003F04C8">
        <w:rPr>
          <w:sz w:val="20"/>
          <w:szCs w:val="20"/>
        </w:rPr>
        <w:t xml:space="preserve"> d’eau</w:t>
      </w:r>
      <w:r w:rsidR="005125DF" w:rsidRPr="003F04C8">
        <w:rPr>
          <w:sz w:val="20"/>
          <w:szCs w:val="20"/>
        </w:rPr>
        <w:t xml:space="preserve"> à l’aide d’un </w:t>
      </w:r>
      <w:proofErr w:type="spellStart"/>
      <w:r w:rsidR="005125DF" w:rsidRPr="003F04C8">
        <w:rPr>
          <w:sz w:val="20"/>
          <w:szCs w:val="20"/>
        </w:rPr>
        <w:t>calibrateur</w:t>
      </w:r>
      <w:proofErr w:type="spellEnd"/>
      <w:r w:rsidR="005125DF" w:rsidRPr="003F04C8">
        <w:rPr>
          <w:sz w:val="20"/>
          <w:szCs w:val="20"/>
        </w:rPr>
        <w:t xml:space="preserve"> de pression DRUCK </w:t>
      </w:r>
      <w:r w:rsidR="00766EB4" w:rsidRPr="003F04C8">
        <w:rPr>
          <w:sz w:val="20"/>
          <w:szCs w:val="20"/>
        </w:rPr>
        <w:t xml:space="preserve">DPI 602, raccordé </w:t>
      </w:r>
      <w:proofErr w:type="spellStart"/>
      <w:r w:rsidR="00766EB4" w:rsidRPr="003F04C8">
        <w:rPr>
          <w:sz w:val="20"/>
          <w:szCs w:val="20"/>
        </w:rPr>
        <w:t>C</w:t>
      </w:r>
      <w:r w:rsidR="00E74287">
        <w:rPr>
          <w:sz w:val="20"/>
          <w:szCs w:val="20"/>
        </w:rPr>
        <w:t>ofrac</w:t>
      </w:r>
      <w:proofErr w:type="spellEnd"/>
      <w:r w:rsidR="00E74287">
        <w:rPr>
          <w:sz w:val="20"/>
          <w:szCs w:val="20"/>
        </w:rPr>
        <w:t xml:space="preserve"> (Comité français d’accréditation)</w:t>
      </w:r>
      <w:r w:rsidR="00766EB4" w:rsidRPr="003F04C8">
        <w:rPr>
          <w:sz w:val="20"/>
          <w:szCs w:val="20"/>
        </w:rPr>
        <w:t>.</w:t>
      </w:r>
      <w:r w:rsidR="002A7F4B" w:rsidRPr="003F04C8">
        <w:rPr>
          <w:sz w:val="20"/>
          <w:szCs w:val="20"/>
        </w:rPr>
        <w:t xml:space="preserve"> La relation entre la tension en millivolts mesurée par les capteurs et le potentiel en </w:t>
      </w:r>
      <w:r w:rsidR="00B57C02" w:rsidRPr="003F04C8">
        <w:rPr>
          <w:sz w:val="20"/>
          <w:szCs w:val="20"/>
        </w:rPr>
        <w:t>centi</w:t>
      </w:r>
      <w:r w:rsidR="002A7F4B" w:rsidRPr="003F04C8">
        <w:rPr>
          <w:sz w:val="20"/>
          <w:szCs w:val="20"/>
        </w:rPr>
        <w:t>mètre</w:t>
      </w:r>
      <w:r w:rsidR="00B57C02" w:rsidRPr="003F04C8">
        <w:rPr>
          <w:sz w:val="20"/>
          <w:szCs w:val="20"/>
        </w:rPr>
        <w:t>s</w:t>
      </w:r>
      <w:r w:rsidR="002A7F4B" w:rsidRPr="003F04C8">
        <w:rPr>
          <w:sz w:val="20"/>
          <w:szCs w:val="20"/>
        </w:rPr>
        <w:t xml:space="preserve"> d’eau imposé par le </w:t>
      </w:r>
      <w:proofErr w:type="spellStart"/>
      <w:r w:rsidR="002A7F4B" w:rsidRPr="003F04C8">
        <w:rPr>
          <w:sz w:val="20"/>
          <w:szCs w:val="20"/>
        </w:rPr>
        <w:t>calibrateur</w:t>
      </w:r>
      <w:proofErr w:type="spellEnd"/>
      <w:r w:rsidR="002A7F4B" w:rsidRPr="003F04C8">
        <w:rPr>
          <w:sz w:val="20"/>
          <w:szCs w:val="20"/>
        </w:rPr>
        <w:t xml:space="preserve"> de pression est représentée </w:t>
      </w:r>
      <w:r w:rsidR="002A7F4B" w:rsidRPr="003F04C8">
        <w:rPr>
          <w:b/>
          <w:sz w:val="20"/>
          <w:szCs w:val="20"/>
        </w:rPr>
        <w:t>Figure 3</w:t>
      </w:r>
      <w:r w:rsidR="002A7F4B" w:rsidRPr="003F04C8">
        <w:rPr>
          <w:sz w:val="20"/>
          <w:szCs w:val="20"/>
        </w:rPr>
        <w:t xml:space="preserve">. </w:t>
      </w:r>
      <w:r w:rsidR="004020BE" w:rsidRPr="003F04C8">
        <w:rPr>
          <w:sz w:val="20"/>
          <w:szCs w:val="20"/>
        </w:rPr>
        <w:t>Pour chaque capteur, le modèle d’étalonnage est linéaire : on en déduit le gain et l’</w:t>
      </w:r>
      <w:r w:rsidR="004629FE" w:rsidRPr="003F04C8">
        <w:rPr>
          <w:sz w:val="20"/>
          <w:szCs w:val="20"/>
        </w:rPr>
        <w:t xml:space="preserve">offset des </w:t>
      </w:r>
      <w:r w:rsidR="00B57C02" w:rsidRPr="003F04C8">
        <w:rPr>
          <w:sz w:val="20"/>
          <w:szCs w:val="20"/>
        </w:rPr>
        <w:t>trois</w:t>
      </w:r>
      <w:r w:rsidR="00AC0650" w:rsidRPr="003F04C8">
        <w:rPr>
          <w:sz w:val="20"/>
          <w:szCs w:val="20"/>
        </w:rPr>
        <w:t xml:space="preserve"> </w:t>
      </w:r>
      <w:r w:rsidR="004629FE" w:rsidRPr="003F04C8">
        <w:rPr>
          <w:sz w:val="20"/>
          <w:szCs w:val="20"/>
        </w:rPr>
        <w:t>capteurs C1 à C</w:t>
      </w:r>
      <w:r w:rsidR="00B57C02" w:rsidRPr="003F04C8">
        <w:rPr>
          <w:sz w:val="20"/>
          <w:szCs w:val="20"/>
        </w:rPr>
        <w:t>3</w:t>
      </w:r>
      <w:r w:rsidR="004629FE" w:rsidRPr="003F04C8">
        <w:rPr>
          <w:sz w:val="20"/>
          <w:szCs w:val="20"/>
        </w:rPr>
        <w:t>.</w:t>
      </w:r>
    </w:p>
    <w:p w:rsidR="002A7F4B" w:rsidRDefault="00B57C02" w:rsidP="00AC0650">
      <w:pPr>
        <w:pStyle w:val="texte"/>
        <w:jc w:val="center"/>
      </w:pPr>
      <w:r>
        <w:rPr>
          <w:noProof/>
          <w:lang w:eastAsia="fr-FR"/>
        </w:rPr>
        <w:drawing>
          <wp:inline distT="0" distB="0" distL="0" distR="0">
            <wp:extent cx="4031405" cy="2196000"/>
            <wp:effectExtent l="0" t="0" r="762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1405" cy="2196000"/>
                    </a:xfrm>
                    <a:prstGeom prst="rect">
                      <a:avLst/>
                    </a:prstGeom>
                    <a:noFill/>
                  </pic:spPr>
                </pic:pic>
              </a:graphicData>
            </a:graphic>
          </wp:inline>
        </w:drawing>
      </w:r>
    </w:p>
    <w:p w:rsidR="002A7F4B" w:rsidRPr="00EA466A" w:rsidRDefault="002A7F4B" w:rsidP="002A7F4B">
      <w:pPr>
        <w:pStyle w:val="Lgende"/>
        <w:jc w:val="center"/>
        <w:rPr>
          <w:sz w:val="18"/>
        </w:rPr>
      </w:pPr>
      <w:r w:rsidRPr="00EA466A">
        <w:rPr>
          <w:b/>
          <w:sz w:val="18"/>
        </w:rPr>
        <w:t xml:space="preserve">Figure </w:t>
      </w:r>
      <w:r w:rsidR="00EA466A" w:rsidRPr="00EA466A">
        <w:rPr>
          <w:b/>
          <w:sz w:val="18"/>
        </w:rPr>
        <w:t xml:space="preserve">3. </w:t>
      </w:r>
      <w:r w:rsidRPr="00EA466A">
        <w:rPr>
          <w:sz w:val="18"/>
        </w:rPr>
        <w:t xml:space="preserve">Etalonnage des </w:t>
      </w:r>
      <w:r w:rsidR="00864736" w:rsidRPr="00EA466A">
        <w:rPr>
          <w:sz w:val="18"/>
        </w:rPr>
        <w:t xml:space="preserve">trois </w:t>
      </w:r>
      <w:r w:rsidRPr="00EA466A">
        <w:rPr>
          <w:sz w:val="18"/>
        </w:rPr>
        <w:t>capteurs de pression</w:t>
      </w:r>
      <w:r w:rsidR="00AC0650" w:rsidRPr="00EA466A">
        <w:rPr>
          <w:sz w:val="18"/>
        </w:rPr>
        <w:t>.</w:t>
      </w:r>
    </w:p>
    <w:p w:rsidR="002A7F4B" w:rsidRPr="003F04C8" w:rsidRDefault="004629FE" w:rsidP="00AC0650">
      <w:pPr>
        <w:pStyle w:val="titreniveau3"/>
        <w:spacing w:after="0" w:afterAutospacing="0"/>
        <w:rPr>
          <w:b w:val="0"/>
          <w:color w:val="auto"/>
          <w:sz w:val="20"/>
          <w:szCs w:val="20"/>
        </w:rPr>
      </w:pPr>
      <w:r w:rsidRPr="003F04C8">
        <w:rPr>
          <w:b w:val="0"/>
          <w:color w:val="auto"/>
          <w:sz w:val="20"/>
          <w:szCs w:val="20"/>
        </w:rPr>
        <w:t xml:space="preserve">Les capteurs de pression sont connectés à une centrale d’acquisition CR1000 Campbell </w:t>
      </w:r>
      <w:proofErr w:type="spellStart"/>
      <w:r w:rsidRPr="003F04C8">
        <w:rPr>
          <w:b w:val="0"/>
          <w:color w:val="auto"/>
          <w:sz w:val="20"/>
          <w:szCs w:val="20"/>
        </w:rPr>
        <w:t>Scientific</w:t>
      </w:r>
      <w:proofErr w:type="spellEnd"/>
      <w:r w:rsidRPr="003F04C8">
        <w:rPr>
          <w:b w:val="0"/>
          <w:color w:val="auto"/>
          <w:sz w:val="20"/>
          <w:szCs w:val="20"/>
        </w:rPr>
        <w:t xml:space="preserve"> permettant l’acquisition du potentiel matriciel toutes les 10 min.</w:t>
      </w:r>
      <w:r w:rsidR="00AC0650" w:rsidRPr="003F04C8">
        <w:rPr>
          <w:b w:val="0"/>
          <w:color w:val="auto"/>
          <w:sz w:val="20"/>
          <w:szCs w:val="20"/>
        </w:rPr>
        <w:t xml:space="preserve"> </w:t>
      </w:r>
      <w:r w:rsidRPr="003F04C8">
        <w:rPr>
          <w:b w:val="0"/>
          <w:color w:val="auto"/>
          <w:sz w:val="20"/>
          <w:szCs w:val="20"/>
        </w:rPr>
        <w:t>Une connexion RS232 entre la CR1000 et une balance de précision permet également le suivi temporel du flux d’eau à travers l’échantillon.</w:t>
      </w:r>
      <w:r w:rsidR="0082508E" w:rsidRPr="003F04C8">
        <w:rPr>
          <w:b w:val="0"/>
          <w:color w:val="auto"/>
          <w:sz w:val="20"/>
          <w:szCs w:val="20"/>
        </w:rPr>
        <w:t xml:space="preserve"> Les données de masse mesurées par la balance sont décodées à l’aide des instructions </w:t>
      </w:r>
      <w:proofErr w:type="spellStart"/>
      <w:r w:rsidR="0082508E" w:rsidRPr="003F04C8">
        <w:rPr>
          <w:b w:val="0"/>
          <w:color w:val="auto"/>
          <w:sz w:val="20"/>
          <w:szCs w:val="20"/>
        </w:rPr>
        <w:t>SerialOpen</w:t>
      </w:r>
      <w:proofErr w:type="spellEnd"/>
      <w:r w:rsidR="0082508E" w:rsidRPr="003F04C8">
        <w:rPr>
          <w:b w:val="0"/>
          <w:color w:val="auto"/>
          <w:sz w:val="20"/>
          <w:szCs w:val="20"/>
        </w:rPr>
        <w:t xml:space="preserve">, </w:t>
      </w:r>
      <w:proofErr w:type="spellStart"/>
      <w:r w:rsidR="0082508E" w:rsidRPr="003F04C8">
        <w:rPr>
          <w:b w:val="0"/>
          <w:color w:val="auto"/>
          <w:sz w:val="20"/>
          <w:szCs w:val="20"/>
        </w:rPr>
        <w:t>SerialInRecord</w:t>
      </w:r>
      <w:proofErr w:type="spellEnd"/>
      <w:r w:rsidR="0082508E" w:rsidRPr="003F04C8">
        <w:rPr>
          <w:b w:val="0"/>
          <w:color w:val="auto"/>
          <w:sz w:val="20"/>
          <w:szCs w:val="20"/>
        </w:rPr>
        <w:t xml:space="preserve"> et </w:t>
      </w:r>
      <w:proofErr w:type="spellStart"/>
      <w:r w:rsidR="0082508E" w:rsidRPr="003F04C8">
        <w:rPr>
          <w:b w:val="0"/>
          <w:color w:val="auto"/>
          <w:sz w:val="20"/>
          <w:szCs w:val="20"/>
        </w:rPr>
        <w:t>SerialFlush</w:t>
      </w:r>
      <w:proofErr w:type="spellEnd"/>
      <w:r w:rsidR="0082508E" w:rsidRPr="003F04C8">
        <w:rPr>
          <w:b w:val="0"/>
          <w:color w:val="auto"/>
          <w:sz w:val="20"/>
          <w:szCs w:val="20"/>
        </w:rPr>
        <w:t xml:space="preserve"> de l’éditeur de programme </w:t>
      </w:r>
      <w:proofErr w:type="spellStart"/>
      <w:r w:rsidR="0082508E" w:rsidRPr="003F04C8">
        <w:rPr>
          <w:b w:val="0"/>
          <w:color w:val="auto"/>
          <w:sz w:val="20"/>
          <w:szCs w:val="20"/>
        </w:rPr>
        <w:t>CRBasic</w:t>
      </w:r>
      <w:proofErr w:type="spellEnd"/>
      <w:r w:rsidR="0082508E" w:rsidRPr="003F04C8">
        <w:rPr>
          <w:b w:val="0"/>
          <w:color w:val="auto"/>
          <w:sz w:val="20"/>
          <w:szCs w:val="20"/>
        </w:rPr>
        <w:t xml:space="preserve"> dans le logiciel </w:t>
      </w:r>
      <w:proofErr w:type="spellStart"/>
      <w:r w:rsidR="0082508E" w:rsidRPr="003F04C8">
        <w:rPr>
          <w:b w:val="0"/>
          <w:color w:val="auto"/>
          <w:sz w:val="20"/>
          <w:szCs w:val="20"/>
        </w:rPr>
        <w:t>LoggerNet</w:t>
      </w:r>
      <w:proofErr w:type="spellEnd"/>
      <w:r w:rsidR="0082508E" w:rsidRPr="003F04C8">
        <w:rPr>
          <w:b w:val="0"/>
          <w:color w:val="auto"/>
          <w:sz w:val="20"/>
          <w:szCs w:val="20"/>
        </w:rPr>
        <w:t>.</w:t>
      </w:r>
      <w:r w:rsidR="00AC0650" w:rsidRPr="003F04C8">
        <w:rPr>
          <w:b w:val="0"/>
          <w:color w:val="auto"/>
          <w:sz w:val="20"/>
          <w:szCs w:val="20"/>
        </w:rPr>
        <w:t xml:space="preserve"> </w:t>
      </w:r>
      <w:r w:rsidR="0082508E" w:rsidRPr="003F04C8">
        <w:rPr>
          <w:b w:val="0"/>
          <w:color w:val="auto"/>
          <w:sz w:val="20"/>
          <w:szCs w:val="20"/>
        </w:rPr>
        <w:t>Le suivi de la température ambiante est effe</w:t>
      </w:r>
      <w:r w:rsidR="00FF1DBC" w:rsidRPr="003F04C8">
        <w:rPr>
          <w:b w:val="0"/>
          <w:color w:val="auto"/>
          <w:sz w:val="20"/>
          <w:szCs w:val="20"/>
        </w:rPr>
        <w:t>ctué à l’aide d’une sonde PT100 connectée à la CR1000.</w:t>
      </w:r>
    </w:p>
    <w:p w:rsidR="009D63E8" w:rsidRPr="00250069" w:rsidRDefault="009D63E8" w:rsidP="00223173">
      <w:pPr>
        <w:pStyle w:val="titreniveau3"/>
      </w:pPr>
      <w:r w:rsidRPr="00250069">
        <w:t>Mesure des flux de protoxyde d’azote</w:t>
      </w:r>
    </w:p>
    <w:p w:rsidR="009D63E8" w:rsidRPr="003F04C8" w:rsidRDefault="009D63E8" w:rsidP="00223173">
      <w:pPr>
        <w:pStyle w:val="texte"/>
        <w:rPr>
          <w:sz w:val="20"/>
          <w:szCs w:val="20"/>
        </w:rPr>
      </w:pPr>
      <w:r w:rsidRPr="003F04C8">
        <w:rPr>
          <w:sz w:val="20"/>
          <w:szCs w:val="20"/>
        </w:rPr>
        <w:t>Les flux de N</w:t>
      </w:r>
      <w:r w:rsidRPr="003F04C8">
        <w:rPr>
          <w:sz w:val="20"/>
          <w:szCs w:val="20"/>
          <w:vertAlign w:val="subscript"/>
        </w:rPr>
        <w:t>2</w:t>
      </w:r>
      <w:r w:rsidRPr="003F04C8">
        <w:rPr>
          <w:sz w:val="20"/>
          <w:szCs w:val="20"/>
        </w:rPr>
        <w:t>O sont suivis à l’aide d’un analyseur par corrélation infrarouge (N</w:t>
      </w:r>
      <w:r w:rsidRPr="003F04C8">
        <w:rPr>
          <w:sz w:val="20"/>
          <w:szCs w:val="20"/>
          <w:vertAlign w:val="subscript"/>
        </w:rPr>
        <w:t>2</w:t>
      </w:r>
      <w:r w:rsidRPr="003F04C8">
        <w:rPr>
          <w:sz w:val="20"/>
          <w:szCs w:val="20"/>
        </w:rPr>
        <w:t xml:space="preserve">O Analyzer, </w:t>
      </w:r>
      <w:proofErr w:type="spellStart"/>
      <w:r w:rsidRPr="003F04C8">
        <w:rPr>
          <w:sz w:val="20"/>
          <w:szCs w:val="20"/>
        </w:rPr>
        <w:t>modèle</w:t>
      </w:r>
      <w:proofErr w:type="spellEnd"/>
      <w:r w:rsidRPr="003F04C8">
        <w:rPr>
          <w:sz w:val="20"/>
          <w:szCs w:val="20"/>
        </w:rPr>
        <w:t xml:space="preserve"> 46i, Thermo </w:t>
      </w:r>
      <w:proofErr w:type="spellStart"/>
      <w:r w:rsidRPr="003F04C8">
        <w:rPr>
          <w:sz w:val="20"/>
          <w:szCs w:val="20"/>
        </w:rPr>
        <w:t>Scientific</w:t>
      </w:r>
      <w:proofErr w:type="spellEnd"/>
      <w:r w:rsidRPr="003F04C8">
        <w:rPr>
          <w:sz w:val="20"/>
          <w:szCs w:val="20"/>
        </w:rPr>
        <w:t xml:space="preserve">) par la méthode des chambres statiques. La chambre est retirée </w:t>
      </w:r>
      <w:r w:rsidR="007B51BB" w:rsidRPr="003F04C8">
        <w:rPr>
          <w:sz w:val="20"/>
          <w:szCs w:val="20"/>
        </w:rPr>
        <w:t xml:space="preserve">puis repositionnée </w:t>
      </w:r>
      <w:r w:rsidRPr="003F04C8">
        <w:rPr>
          <w:sz w:val="20"/>
          <w:szCs w:val="20"/>
        </w:rPr>
        <w:t>avant chaque mesure afin</w:t>
      </w:r>
      <w:r w:rsidR="007B51BB" w:rsidRPr="003F04C8">
        <w:rPr>
          <w:sz w:val="20"/>
          <w:szCs w:val="20"/>
        </w:rPr>
        <w:t xml:space="preserve"> que la concentration </w:t>
      </w:r>
      <w:r w:rsidR="002D2052" w:rsidRPr="003F04C8">
        <w:rPr>
          <w:sz w:val="20"/>
          <w:szCs w:val="20"/>
        </w:rPr>
        <w:t xml:space="preserve">de départ </w:t>
      </w:r>
      <w:r w:rsidR="007B51BB" w:rsidRPr="003F04C8">
        <w:rPr>
          <w:sz w:val="20"/>
          <w:szCs w:val="20"/>
        </w:rPr>
        <w:t>en N</w:t>
      </w:r>
      <w:r w:rsidR="007B51BB" w:rsidRPr="003F04C8">
        <w:rPr>
          <w:sz w:val="20"/>
          <w:szCs w:val="20"/>
          <w:vertAlign w:val="subscript"/>
        </w:rPr>
        <w:t>2</w:t>
      </w:r>
      <w:r w:rsidR="007B51BB" w:rsidRPr="003F04C8">
        <w:rPr>
          <w:sz w:val="20"/>
          <w:szCs w:val="20"/>
        </w:rPr>
        <w:t>O soit égale à la concentration atmosphérique</w:t>
      </w:r>
      <w:r w:rsidRPr="003F04C8">
        <w:rPr>
          <w:sz w:val="20"/>
          <w:szCs w:val="20"/>
        </w:rPr>
        <w:t xml:space="preserve">. </w:t>
      </w:r>
      <w:r w:rsidR="00D234CF" w:rsidRPr="003F04C8">
        <w:rPr>
          <w:sz w:val="20"/>
          <w:szCs w:val="20"/>
        </w:rPr>
        <w:t>Il convient de noter que pendant l</w:t>
      </w:r>
      <w:r w:rsidR="003F41C9" w:rsidRPr="003F04C8">
        <w:rPr>
          <w:sz w:val="20"/>
          <w:szCs w:val="20"/>
        </w:rPr>
        <w:t>es</w:t>
      </w:r>
      <w:r w:rsidR="00D234CF" w:rsidRPr="003F04C8">
        <w:rPr>
          <w:sz w:val="20"/>
          <w:szCs w:val="20"/>
        </w:rPr>
        <w:t xml:space="preserve"> phase</w:t>
      </w:r>
      <w:r w:rsidR="003F41C9" w:rsidRPr="003F04C8">
        <w:rPr>
          <w:sz w:val="20"/>
          <w:szCs w:val="20"/>
        </w:rPr>
        <w:t>s</w:t>
      </w:r>
      <w:r w:rsidR="00D234CF" w:rsidRPr="003F04C8">
        <w:rPr>
          <w:sz w:val="20"/>
          <w:szCs w:val="20"/>
        </w:rPr>
        <w:t xml:space="preserve"> de désaturation, la chambre doit être maintenue fermée, et seulement ouverte avant les mesures de flux de N</w:t>
      </w:r>
      <w:r w:rsidR="00D234CF" w:rsidRPr="003F04C8">
        <w:rPr>
          <w:sz w:val="20"/>
          <w:szCs w:val="20"/>
          <w:vertAlign w:val="subscript"/>
        </w:rPr>
        <w:t>2</w:t>
      </w:r>
      <w:r w:rsidR="00D234CF" w:rsidRPr="003F04C8">
        <w:rPr>
          <w:sz w:val="20"/>
          <w:szCs w:val="20"/>
        </w:rPr>
        <w:t xml:space="preserve">O, afin que la valeur cible de la pompe à vide se maintienne. </w:t>
      </w:r>
      <w:r w:rsidRPr="003F04C8">
        <w:rPr>
          <w:sz w:val="20"/>
          <w:szCs w:val="20"/>
        </w:rPr>
        <w:t>La concentration en N</w:t>
      </w:r>
      <w:r w:rsidRPr="003F04C8">
        <w:rPr>
          <w:sz w:val="20"/>
          <w:szCs w:val="20"/>
          <w:vertAlign w:val="subscript"/>
        </w:rPr>
        <w:t>2</w:t>
      </w:r>
      <w:r w:rsidRPr="003F04C8">
        <w:rPr>
          <w:sz w:val="20"/>
          <w:szCs w:val="20"/>
        </w:rPr>
        <w:t>O dans la chambre est enregistrée toutes les minutes pendant des périodes de 20 min. Etant donné</w:t>
      </w:r>
      <w:r w:rsidR="005B155D" w:rsidRPr="003F04C8">
        <w:rPr>
          <w:sz w:val="20"/>
          <w:szCs w:val="20"/>
        </w:rPr>
        <w:t>e</w:t>
      </w:r>
      <w:r w:rsidRPr="003F04C8">
        <w:rPr>
          <w:sz w:val="20"/>
          <w:szCs w:val="20"/>
        </w:rPr>
        <w:t xml:space="preserve"> la courte période de mesure, les concentrations présentent généralement une évolution linéaire en fonction du temps. Les flux sont donc calculés de façon linéaire sur des périodes de 10 min après</w:t>
      </w:r>
      <w:r w:rsidR="005B155D" w:rsidRPr="003F04C8">
        <w:rPr>
          <w:sz w:val="20"/>
          <w:szCs w:val="20"/>
        </w:rPr>
        <w:t xml:space="preserve"> la fermeture de la chambre.</w:t>
      </w:r>
    </w:p>
    <w:p w:rsidR="009D63E8" w:rsidRPr="00250069" w:rsidRDefault="009D63E8" w:rsidP="00223173">
      <w:pPr>
        <w:pStyle w:val="titreniveau2"/>
      </w:pPr>
      <w:r w:rsidRPr="00250069">
        <w:t>Résultats</w:t>
      </w:r>
    </w:p>
    <w:p w:rsidR="009D63E8" w:rsidRPr="003F04C8" w:rsidRDefault="009D63E8" w:rsidP="00223173">
      <w:pPr>
        <w:pStyle w:val="texte"/>
        <w:rPr>
          <w:sz w:val="20"/>
          <w:szCs w:val="20"/>
        </w:rPr>
      </w:pPr>
      <w:r w:rsidRPr="003F04C8">
        <w:rPr>
          <w:sz w:val="20"/>
          <w:szCs w:val="20"/>
        </w:rPr>
        <w:t>Un exemple d’évolution des flux de N</w:t>
      </w:r>
      <w:r w:rsidRPr="003F04C8">
        <w:rPr>
          <w:sz w:val="20"/>
          <w:szCs w:val="20"/>
          <w:vertAlign w:val="subscript"/>
        </w:rPr>
        <w:t>2</w:t>
      </w:r>
      <w:r w:rsidRPr="003F04C8">
        <w:rPr>
          <w:sz w:val="20"/>
          <w:szCs w:val="20"/>
        </w:rPr>
        <w:t xml:space="preserve">O et du potentiel matriciel en fonction du temps est donné </w:t>
      </w:r>
      <w:r w:rsidR="00E831DE">
        <w:fldChar w:fldCharType="begin"/>
      </w:r>
      <w:r w:rsidR="00E831DE">
        <w:instrText xml:space="preserve"> REF _Ref393138319 \h  \* MERGEFORMAT </w:instrText>
      </w:r>
      <w:r w:rsidR="00E831DE">
        <w:fldChar w:fldCharType="separate"/>
      </w:r>
      <w:r w:rsidR="00055FF3" w:rsidRPr="00055FF3">
        <w:rPr>
          <w:b/>
          <w:sz w:val="20"/>
          <w:szCs w:val="20"/>
        </w:rPr>
        <w:t xml:space="preserve">Figure </w:t>
      </w:r>
      <w:r w:rsidR="00E831DE">
        <w:fldChar w:fldCharType="end"/>
      </w:r>
      <w:r w:rsidR="004020BE" w:rsidRPr="003F04C8">
        <w:rPr>
          <w:b/>
          <w:sz w:val="20"/>
          <w:szCs w:val="20"/>
        </w:rPr>
        <w:t>4</w:t>
      </w:r>
      <w:r w:rsidR="007B51BB" w:rsidRPr="003F04C8">
        <w:rPr>
          <w:sz w:val="20"/>
          <w:szCs w:val="20"/>
        </w:rPr>
        <w:t>.</w:t>
      </w:r>
    </w:p>
    <w:p w:rsidR="009D63E8" w:rsidRDefault="009D63E8" w:rsidP="00AC0650">
      <w:pPr>
        <w:pStyle w:val="texte"/>
        <w:jc w:val="center"/>
      </w:pPr>
      <w:r>
        <w:rPr>
          <w:noProof/>
          <w:lang w:eastAsia="fr-FR"/>
        </w:rPr>
        <w:lastRenderedPageBreak/>
        <w:drawing>
          <wp:inline distT="0" distB="0" distL="0" distR="0">
            <wp:extent cx="3931373" cy="2988000"/>
            <wp:effectExtent l="0" t="0" r="0" b="0"/>
            <wp:docPr id="3" name="Image 2" descr="exemple_flux_pot-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le_flux_pot-mat.png"/>
                    <pic:cNvPicPr/>
                  </pic:nvPicPr>
                  <pic:blipFill>
                    <a:blip r:embed="rId12" cstate="print"/>
                    <a:stretch>
                      <a:fillRect/>
                    </a:stretch>
                  </pic:blipFill>
                  <pic:spPr>
                    <a:xfrm>
                      <a:off x="0" y="0"/>
                      <a:ext cx="3931373" cy="2988000"/>
                    </a:xfrm>
                    <a:prstGeom prst="rect">
                      <a:avLst/>
                    </a:prstGeom>
                  </pic:spPr>
                </pic:pic>
              </a:graphicData>
            </a:graphic>
          </wp:inline>
        </w:drawing>
      </w:r>
    </w:p>
    <w:p w:rsidR="009D63E8" w:rsidRPr="00EA466A" w:rsidRDefault="009D63E8" w:rsidP="00223173">
      <w:pPr>
        <w:pStyle w:val="Lgende"/>
        <w:jc w:val="center"/>
        <w:rPr>
          <w:sz w:val="18"/>
        </w:rPr>
      </w:pPr>
      <w:bookmarkStart w:id="2" w:name="_Ref393138319"/>
      <w:r w:rsidRPr="00EA466A">
        <w:rPr>
          <w:b/>
          <w:sz w:val="18"/>
        </w:rPr>
        <w:t xml:space="preserve">Figure </w:t>
      </w:r>
      <w:bookmarkEnd w:id="2"/>
      <w:r w:rsidR="000E7C15" w:rsidRPr="00EA466A">
        <w:rPr>
          <w:b/>
          <w:sz w:val="18"/>
        </w:rPr>
        <w:t xml:space="preserve">4. </w:t>
      </w:r>
      <w:r w:rsidRPr="00EA466A">
        <w:rPr>
          <w:sz w:val="18"/>
        </w:rPr>
        <w:t>Exemple d’évolution des flux de protoxyde d’azote (carrés) et du potentiel matriciel mesuré à l’aide des trois tensiomètres (lignes grises), lors de deux cycles de saturation-désaturation (cycle 1 et cycle 2).</w:t>
      </w:r>
    </w:p>
    <w:p w:rsidR="007B51BB" w:rsidRPr="003F04C8" w:rsidRDefault="007B51BB" w:rsidP="007B51BB">
      <w:pPr>
        <w:pStyle w:val="texte"/>
        <w:rPr>
          <w:sz w:val="20"/>
          <w:szCs w:val="20"/>
        </w:rPr>
      </w:pPr>
      <w:r w:rsidRPr="003F04C8">
        <w:rPr>
          <w:sz w:val="20"/>
          <w:szCs w:val="20"/>
        </w:rPr>
        <w:t>Un échantillon reconstitué à une densité apparente de 1</w:t>
      </w:r>
      <w:r w:rsidR="000E7C15" w:rsidRPr="003F04C8">
        <w:rPr>
          <w:sz w:val="20"/>
          <w:szCs w:val="20"/>
        </w:rPr>
        <w:t>,</w:t>
      </w:r>
      <w:r w:rsidRPr="003F04C8">
        <w:rPr>
          <w:sz w:val="20"/>
          <w:szCs w:val="20"/>
        </w:rPr>
        <w:t>45 g.cm</w:t>
      </w:r>
      <w:r w:rsidRPr="003F04C8">
        <w:rPr>
          <w:sz w:val="20"/>
          <w:szCs w:val="20"/>
          <w:vertAlign w:val="superscript"/>
        </w:rPr>
        <w:t>–3</w:t>
      </w:r>
      <w:r w:rsidRPr="003F04C8">
        <w:rPr>
          <w:sz w:val="20"/>
          <w:szCs w:val="20"/>
        </w:rPr>
        <w:t xml:space="preserve"> a été soumis à deux cycles de saturation-désaturation. Une céramique poreuse </w:t>
      </w:r>
      <w:proofErr w:type="spellStart"/>
      <w:r w:rsidRPr="00E74287">
        <w:rPr>
          <w:i/>
          <w:sz w:val="20"/>
          <w:szCs w:val="20"/>
        </w:rPr>
        <w:t>high</w:t>
      </w:r>
      <w:proofErr w:type="spellEnd"/>
      <w:r w:rsidRPr="00E74287">
        <w:rPr>
          <w:i/>
          <w:sz w:val="20"/>
          <w:szCs w:val="20"/>
        </w:rPr>
        <w:t xml:space="preserve"> flow</w:t>
      </w:r>
      <w:r w:rsidRPr="003F04C8">
        <w:rPr>
          <w:sz w:val="20"/>
          <w:szCs w:val="20"/>
        </w:rPr>
        <w:t xml:space="preserve"> a été utilisée. L’échantillon a dans un premier temps été saturé pendant 4 jours dans le système MSO avec une solution enrichie en nitrates, puis une pression négative de </w:t>
      </w:r>
      <w:r w:rsidR="000E7C15" w:rsidRPr="003F04C8">
        <w:rPr>
          <w:sz w:val="20"/>
          <w:szCs w:val="20"/>
        </w:rPr>
        <w:t xml:space="preserve">- </w:t>
      </w:r>
      <w:r w:rsidRPr="003F04C8">
        <w:rPr>
          <w:sz w:val="20"/>
          <w:szCs w:val="20"/>
        </w:rPr>
        <w:t xml:space="preserve">300 cm d’eau a été appliquée à sa base pendant 3 jours. Ce cycle a ensuite été répété une seconde fois. Lors de la première saturation en eau, le potentiel matriciel mesuré par les trois tensiomètres était de 0 cm. Dès lors que la pompe à vide a été activée, le potentiel matriciel a montré une décroissance rapide, pour finalement atteindre un plateau autour de la valeur cible. Deux heures ont été nécessaires afin d’atteindre un potentiel matriciel de 0 cm lors de la </w:t>
      </w:r>
      <w:proofErr w:type="spellStart"/>
      <w:r w:rsidRPr="003F04C8">
        <w:rPr>
          <w:sz w:val="20"/>
          <w:szCs w:val="20"/>
        </w:rPr>
        <w:t>resaturation</w:t>
      </w:r>
      <w:proofErr w:type="spellEnd"/>
      <w:r w:rsidRPr="003F04C8">
        <w:rPr>
          <w:sz w:val="20"/>
          <w:szCs w:val="20"/>
        </w:rPr>
        <w:t xml:space="preserve"> en eau du deuxième cycle. Un pic de N</w:t>
      </w:r>
      <w:r w:rsidRPr="003F04C8">
        <w:rPr>
          <w:sz w:val="20"/>
          <w:szCs w:val="20"/>
          <w:vertAlign w:val="subscript"/>
        </w:rPr>
        <w:t>2</w:t>
      </w:r>
      <w:r w:rsidRPr="003F04C8">
        <w:rPr>
          <w:sz w:val="20"/>
          <w:szCs w:val="20"/>
        </w:rPr>
        <w:t>O de faible ampleur, lié à la réactivation de l’activité biologique de dénitrification a pu être identifié au début de la phase de saturation : pendant la phase de saturation, le transport de N</w:t>
      </w:r>
      <w:r w:rsidRPr="003F04C8">
        <w:rPr>
          <w:sz w:val="20"/>
          <w:szCs w:val="20"/>
          <w:vertAlign w:val="subscript"/>
        </w:rPr>
        <w:t>2</w:t>
      </w:r>
      <w:r w:rsidRPr="003F04C8">
        <w:rPr>
          <w:sz w:val="20"/>
          <w:szCs w:val="20"/>
        </w:rPr>
        <w:t>O sous forme dissoute vers la surface du sol est lent. Dès le début de la désaturation, le transport rapide du N</w:t>
      </w:r>
      <w:r w:rsidRPr="003F04C8">
        <w:rPr>
          <w:sz w:val="20"/>
          <w:szCs w:val="20"/>
          <w:vertAlign w:val="subscript"/>
        </w:rPr>
        <w:t>2</w:t>
      </w:r>
      <w:r w:rsidRPr="003F04C8">
        <w:rPr>
          <w:sz w:val="20"/>
          <w:szCs w:val="20"/>
        </w:rPr>
        <w:t>O et son relargage depuis la solution du sol ont été favorisés par le départ de l’eau. Ainsi, associé à la dynamique du flux d’eau et à l’augmentation du coefficient de diffusion gazeuse lors de la désaturation de l’échantillon, le flux de N</w:t>
      </w:r>
      <w:r w:rsidRPr="003F04C8">
        <w:rPr>
          <w:sz w:val="20"/>
          <w:szCs w:val="20"/>
          <w:vertAlign w:val="subscript"/>
        </w:rPr>
        <w:t>2</w:t>
      </w:r>
      <w:r w:rsidRPr="003F04C8">
        <w:rPr>
          <w:sz w:val="20"/>
          <w:szCs w:val="20"/>
        </w:rPr>
        <w:t>O a montré un pic intense et furtif à chaque début de désaturation en eau</w:t>
      </w:r>
      <w:r w:rsidR="002D2052" w:rsidRPr="003F04C8">
        <w:rPr>
          <w:sz w:val="20"/>
          <w:szCs w:val="20"/>
        </w:rPr>
        <w:t xml:space="preserve"> (Rabot, 2014)</w:t>
      </w:r>
      <w:r w:rsidRPr="003F04C8">
        <w:rPr>
          <w:sz w:val="20"/>
          <w:szCs w:val="20"/>
        </w:rPr>
        <w:t>.</w:t>
      </w:r>
    </w:p>
    <w:p w:rsidR="009D63E8" w:rsidRPr="008F46CE" w:rsidRDefault="009D63E8" w:rsidP="00223173">
      <w:pPr>
        <w:pStyle w:val="titreniveau2"/>
      </w:pPr>
      <w:r w:rsidRPr="008F46CE">
        <w:t>Conclusion</w:t>
      </w:r>
    </w:p>
    <w:p w:rsidR="009D63E8" w:rsidRPr="003F04C8" w:rsidRDefault="009D63E8" w:rsidP="00223173">
      <w:pPr>
        <w:pStyle w:val="texte"/>
        <w:rPr>
          <w:sz w:val="20"/>
          <w:szCs w:val="20"/>
        </w:rPr>
      </w:pPr>
      <w:r w:rsidRPr="003F04C8">
        <w:rPr>
          <w:sz w:val="20"/>
          <w:szCs w:val="20"/>
        </w:rPr>
        <w:t xml:space="preserve">Afin de contrôler finement le statut hydrique d’un échantillon de sol de grande taille, un système permettant la saturation et la désaturation d’échantillons a été conçu sur le modèle des systèmes de </w:t>
      </w:r>
      <w:proofErr w:type="spellStart"/>
      <w:r w:rsidRPr="003F04C8">
        <w:rPr>
          <w:i/>
          <w:sz w:val="20"/>
          <w:szCs w:val="20"/>
        </w:rPr>
        <w:t>multistep</w:t>
      </w:r>
      <w:proofErr w:type="spellEnd"/>
      <w:r w:rsidRPr="003F04C8">
        <w:rPr>
          <w:i/>
          <w:sz w:val="20"/>
          <w:szCs w:val="20"/>
        </w:rPr>
        <w:t xml:space="preserve"> </w:t>
      </w:r>
      <w:proofErr w:type="spellStart"/>
      <w:r w:rsidRPr="003F04C8">
        <w:rPr>
          <w:i/>
          <w:sz w:val="20"/>
          <w:szCs w:val="20"/>
        </w:rPr>
        <w:t>outfow</w:t>
      </w:r>
      <w:proofErr w:type="spellEnd"/>
      <w:r w:rsidRPr="003F04C8">
        <w:rPr>
          <w:sz w:val="20"/>
          <w:szCs w:val="20"/>
        </w:rPr>
        <w:t>. Il a été couplé à un système de mesure des flux de N</w:t>
      </w:r>
      <w:r w:rsidRPr="003F04C8">
        <w:rPr>
          <w:sz w:val="20"/>
          <w:szCs w:val="20"/>
          <w:vertAlign w:val="subscript"/>
        </w:rPr>
        <w:t>2</w:t>
      </w:r>
      <w:r w:rsidRPr="003F04C8">
        <w:rPr>
          <w:sz w:val="20"/>
          <w:szCs w:val="20"/>
        </w:rPr>
        <w:t xml:space="preserve">O par la méthode des chambres statiques. Le cahier des charges regroupait un ensemble de contraintes techniques qui </w:t>
      </w:r>
      <w:r w:rsidR="0018292A" w:rsidRPr="003F04C8">
        <w:rPr>
          <w:sz w:val="20"/>
          <w:szCs w:val="20"/>
        </w:rPr>
        <w:t>ont pu être respectées</w:t>
      </w:r>
      <w:r w:rsidRPr="003F04C8">
        <w:rPr>
          <w:sz w:val="20"/>
          <w:szCs w:val="20"/>
        </w:rPr>
        <w:t xml:space="preserve">. Le système a d’ores et déjà été mis en fonctionnement et a fourni des résultats satisfaisants en dépression jusqu’à </w:t>
      </w:r>
      <w:r w:rsidR="000E7C15" w:rsidRPr="003F04C8">
        <w:rPr>
          <w:sz w:val="20"/>
          <w:szCs w:val="20"/>
        </w:rPr>
        <w:t xml:space="preserve">- </w:t>
      </w:r>
      <w:r w:rsidRPr="003F04C8">
        <w:rPr>
          <w:sz w:val="20"/>
          <w:szCs w:val="20"/>
        </w:rPr>
        <w:t xml:space="preserve">300 cm d’eau. Il s’est également avéré transportable, puisqu’il a pu être installé sous un scanner pour l’étude simultanée des </w:t>
      </w:r>
      <w:r w:rsidR="00B767FF" w:rsidRPr="003F04C8">
        <w:rPr>
          <w:sz w:val="20"/>
          <w:szCs w:val="20"/>
        </w:rPr>
        <w:t xml:space="preserve">reconnexions </w:t>
      </w:r>
      <w:r w:rsidRPr="003F04C8">
        <w:rPr>
          <w:sz w:val="20"/>
          <w:szCs w:val="20"/>
        </w:rPr>
        <w:t>gazeuses pendant la désaturation d</w:t>
      </w:r>
      <w:r w:rsidR="0018292A" w:rsidRPr="003F04C8">
        <w:rPr>
          <w:sz w:val="20"/>
          <w:szCs w:val="20"/>
        </w:rPr>
        <w:t xml:space="preserve">’un </w:t>
      </w:r>
      <w:r w:rsidRPr="003F04C8">
        <w:rPr>
          <w:sz w:val="20"/>
          <w:szCs w:val="20"/>
        </w:rPr>
        <w:t>échantillon d’un sol</w:t>
      </w:r>
      <w:r w:rsidR="002D2052" w:rsidRPr="003F04C8">
        <w:rPr>
          <w:sz w:val="20"/>
          <w:szCs w:val="20"/>
        </w:rPr>
        <w:t xml:space="preserve"> (Rabot, 2014)</w:t>
      </w:r>
      <w:r w:rsidRPr="003F04C8">
        <w:rPr>
          <w:sz w:val="20"/>
          <w:szCs w:val="20"/>
        </w:rPr>
        <w:t>.</w:t>
      </w:r>
    </w:p>
    <w:p w:rsidR="009D63E8" w:rsidRPr="00007AB8" w:rsidRDefault="009D63E8" w:rsidP="00223173">
      <w:pPr>
        <w:pStyle w:val="titreniveau2"/>
        <w:rPr>
          <w:lang w:val="en-US"/>
        </w:rPr>
      </w:pPr>
      <w:proofErr w:type="spellStart"/>
      <w:r w:rsidRPr="00007AB8">
        <w:rPr>
          <w:lang w:val="en-US"/>
        </w:rPr>
        <w:t>Références</w:t>
      </w:r>
      <w:proofErr w:type="spellEnd"/>
      <w:r w:rsidRPr="00007AB8">
        <w:rPr>
          <w:lang w:val="en-US"/>
        </w:rPr>
        <w:t xml:space="preserve"> </w:t>
      </w:r>
      <w:proofErr w:type="spellStart"/>
      <w:r w:rsidRPr="00007AB8">
        <w:rPr>
          <w:lang w:val="en-US"/>
        </w:rPr>
        <w:t>bibliographiques</w:t>
      </w:r>
      <w:proofErr w:type="spellEnd"/>
    </w:p>
    <w:p w:rsidR="009D63E8" w:rsidRPr="003F04C8" w:rsidRDefault="009D63E8" w:rsidP="00223173">
      <w:pPr>
        <w:pStyle w:val="texte"/>
        <w:spacing w:after="0" w:line="240" w:lineRule="auto"/>
        <w:rPr>
          <w:rFonts w:cs="Times New Roman"/>
          <w:noProof/>
          <w:sz w:val="20"/>
          <w:szCs w:val="20"/>
          <w:lang w:val="en-US"/>
        </w:rPr>
      </w:pPr>
      <w:bookmarkStart w:id="3" w:name="_ENREF_1"/>
      <w:r w:rsidRPr="003F04C8">
        <w:rPr>
          <w:rFonts w:cs="Times New Roman"/>
          <w:noProof/>
          <w:sz w:val="20"/>
          <w:szCs w:val="20"/>
          <w:lang w:val="en-US"/>
        </w:rPr>
        <w:t xml:space="preserve">Castellano MJ, Schmidt JP, Kaye JP, Walker C, Graham CB, Lin H, Dell CJ (2010) Hydrological and biogeochemical controls on the timing and magnitude of nitrous oxide flux across an agricultural landscape. </w:t>
      </w:r>
      <w:r w:rsidRPr="003F04C8">
        <w:rPr>
          <w:rFonts w:cs="Times New Roman"/>
          <w:i/>
          <w:noProof/>
          <w:sz w:val="20"/>
          <w:szCs w:val="20"/>
          <w:lang w:val="en-US"/>
        </w:rPr>
        <w:t>Glob Change Biol</w:t>
      </w:r>
      <w:r w:rsidRPr="003F04C8">
        <w:rPr>
          <w:rFonts w:cs="Times New Roman"/>
          <w:noProof/>
          <w:sz w:val="20"/>
          <w:szCs w:val="20"/>
          <w:lang w:val="en-US"/>
        </w:rPr>
        <w:t xml:space="preserve"> </w:t>
      </w:r>
      <w:r w:rsidRPr="003F04C8">
        <w:rPr>
          <w:rFonts w:cs="Times New Roman"/>
          <w:b/>
          <w:noProof/>
          <w:sz w:val="20"/>
          <w:szCs w:val="20"/>
          <w:lang w:val="en-US"/>
        </w:rPr>
        <w:t>16</w:t>
      </w:r>
      <w:r w:rsidR="000E7C15" w:rsidRPr="003F04C8">
        <w:rPr>
          <w:rFonts w:cs="Times New Roman"/>
          <w:b/>
          <w:noProof/>
          <w:sz w:val="20"/>
          <w:szCs w:val="20"/>
          <w:lang w:val="en-US"/>
        </w:rPr>
        <w:t xml:space="preserve"> </w:t>
      </w:r>
      <w:r w:rsidRPr="003F04C8">
        <w:rPr>
          <w:rFonts w:cs="Times New Roman"/>
          <w:noProof/>
          <w:sz w:val="20"/>
          <w:szCs w:val="20"/>
          <w:lang w:val="en-US"/>
        </w:rPr>
        <w:t>: 2711-2720.</w:t>
      </w:r>
      <w:bookmarkEnd w:id="3"/>
    </w:p>
    <w:p w:rsidR="009D63E8" w:rsidRPr="003F04C8" w:rsidRDefault="009D63E8" w:rsidP="00223173">
      <w:pPr>
        <w:pStyle w:val="texte"/>
        <w:spacing w:after="0" w:line="240" w:lineRule="auto"/>
        <w:rPr>
          <w:rFonts w:cs="Times New Roman"/>
          <w:noProof/>
          <w:sz w:val="20"/>
          <w:szCs w:val="20"/>
          <w:lang w:val="en-US"/>
        </w:rPr>
      </w:pPr>
      <w:bookmarkStart w:id="4" w:name="_ENREF_2"/>
      <w:r w:rsidRPr="003F04C8">
        <w:rPr>
          <w:rFonts w:cs="Times New Roman"/>
          <w:noProof/>
          <w:sz w:val="20"/>
          <w:szCs w:val="20"/>
          <w:lang w:val="en-US"/>
        </w:rPr>
        <w:lastRenderedPageBreak/>
        <w:t xml:space="preserve">Grundmann GL, Rolston DE (1987) A water function approximation to degree of anaerobiosis associated with denitrification. </w:t>
      </w:r>
      <w:r w:rsidRPr="003F04C8">
        <w:rPr>
          <w:rFonts w:cs="Times New Roman"/>
          <w:i/>
          <w:noProof/>
          <w:sz w:val="20"/>
          <w:szCs w:val="20"/>
          <w:lang w:val="en-US"/>
        </w:rPr>
        <w:t>Soil Sci</w:t>
      </w:r>
      <w:r w:rsidR="000E7C15" w:rsidRPr="003F04C8">
        <w:rPr>
          <w:rFonts w:cs="Times New Roman"/>
          <w:i/>
          <w:noProof/>
          <w:sz w:val="20"/>
          <w:szCs w:val="20"/>
          <w:lang w:val="en-US"/>
        </w:rPr>
        <w:t xml:space="preserve"> </w:t>
      </w:r>
      <w:r w:rsidRPr="003F04C8">
        <w:rPr>
          <w:rFonts w:cs="Times New Roman"/>
          <w:noProof/>
          <w:sz w:val="20"/>
          <w:szCs w:val="20"/>
          <w:lang w:val="en-US"/>
        </w:rPr>
        <w:t xml:space="preserve"> </w:t>
      </w:r>
      <w:r w:rsidRPr="003F04C8">
        <w:rPr>
          <w:rFonts w:cs="Times New Roman"/>
          <w:b/>
          <w:noProof/>
          <w:sz w:val="20"/>
          <w:szCs w:val="20"/>
          <w:lang w:val="en-US"/>
        </w:rPr>
        <w:t>144</w:t>
      </w:r>
      <w:r w:rsidR="00357E0C">
        <w:rPr>
          <w:rFonts w:cs="Times New Roman"/>
          <w:b/>
          <w:noProof/>
          <w:sz w:val="20"/>
          <w:szCs w:val="20"/>
          <w:lang w:val="en-US"/>
        </w:rPr>
        <w:t xml:space="preserve"> </w:t>
      </w:r>
      <w:r w:rsidRPr="003F04C8">
        <w:rPr>
          <w:rFonts w:cs="Times New Roman"/>
          <w:noProof/>
          <w:sz w:val="20"/>
          <w:szCs w:val="20"/>
          <w:lang w:val="en-US"/>
        </w:rPr>
        <w:t>: 437-441.</w:t>
      </w:r>
      <w:bookmarkEnd w:id="4"/>
    </w:p>
    <w:p w:rsidR="009D63E8" w:rsidRPr="003F04C8" w:rsidRDefault="009D63E8" w:rsidP="00223173">
      <w:pPr>
        <w:pStyle w:val="texte"/>
        <w:spacing w:after="0" w:line="240" w:lineRule="auto"/>
        <w:rPr>
          <w:rFonts w:cs="Times New Roman"/>
          <w:noProof/>
          <w:sz w:val="20"/>
          <w:szCs w:val="20"/>
        </w:rPr>
      </w:pPr>
      <w:bookmarkStart w:id="5" w:name="_ENREF_3"/>
      <w:r w:rsidRPr="003F04C8">
        <w:rPr>
          <w:rFonts w:cs="Times New Roman"/>
          <w:noProof/>
          <w:sz w:val="20"/>
          <w:szCs w:val="20"/>
          <w:lang w:val="en-US"/>
        </w:rPr>
        <w:t>Heinen M (2006) Simplified denitrification models</w:t>
      </w:r>
      <w:r w:rsidR="000E7C15" w:rsidRPr="003F04C8">
        <w:rPr>
          <w:rFonts w:cs="Times New Roman"/>
          <w:noProof/>
          <w:sz w:val="20"/>
          <w:szCs w:val="20"/>
          <w:lang w:val="en-US"/>
        </w:rPr>
        <w:t xml:space="preserve"> </w:t>
      </w:r>
      <w:r w:rsidRPr="003F04C8">
        <w:rPr>
          <w:rFonts w:cs="Times New Roman"/>
          <w:noProof/>
          <w:sz w:val="20"/>
          <w:szCs w:val="20"/>
          <w:lang w:val="en-US"/>
        </w:rPr>
        <w:t xml:space="preserve">: Overview and properties. </w:t>
      </w:r>
      <w:r w:rsidRPr="003F04C8">
        <w:rPr>
          <w:rFonts w:cs="Times New Roman"/>
          <w:i/>
          <w:noProof/>
          <w:sz w:val="20"/>
          <w:szCs w:val="20"/>
        </w:rPr>
        <w:t>Geoderma</w:t>
      </w:r>
      <w:r w:rsidRPr="003F04C8">
        <w:rPr>
          <w:rFonts w:cs="Times New Roman"/>
          <w:noProof/>
          <w:sz w:val="20"/>
          <w:szCs w:val="20"/>
        </w:rPr>
        <w:t xml:space="preserve"> </w:t>
      </w:r>
      <w:r w:rsidRPr="003F04C8">
        <w:rPr>
          <w:rFonts w:cs="Times New Roman"/>
          <w:b/>
          <w:noProof/>
          <w:sz w:val="20"/>
          <w:szCs w:val="20"/>
        </w:rPr>
        <w:t>133</w:t>
      </w:r>
      <w:r w:rsidR="000E7C15" w:rsidRPr="003F04C8">
        <w:rPr>
          <w:rFonts w:cs="Times New Roman"/>
          <w:b/>
          <w:noProof/>
          <w:sz w:val="20"/>
          <w:szCs w:val="20"/>
        </w:rPr>
        <w:t xml:space="preserve"> </w:t>
      </w:r>
      <w:r w:rsidRPr="003F04C8">
        <w:rPr>
          <w:rFonts w:cs="Times New Roman"/>
          <w:noProof/>
          <w:sz w:val="20"/>
          <w:szCs w:val="20"/>
        </w:rPr>
        <w:t>: 444-463.</w:t>
      </w:r>
      <w:bookmarkStart w:id="6" w:name="_GoBack"/>
      <w:bookmarkEnd w:id="5"/>
      <w:bookmarkEnd w:id="6"/>
    </w:p>
    <w:p w:rsidR="007B51BB" w:rsidRPr="003F04C8" w:rsidRDefault="007B51BB" w:rsidP="007B51BB">
      <w:pPr>
        <w:pStyle w:val="texte"/>
        <w:spacing w:after="0" w:line="240" w:lineRule="auto"/>
        <w:rPr>
          <w:rFonts w:cs="Times New Roman"/>
          <w:noProof/>
          <w:sz w:val="20"/>
          <w:szCs w:val="20"/>
        </w:rPr>
      </w:pPr>
      <w:r w:rsidRPr="003F04C8">
        <w:rPr>
          <w:rFonts w:cs="Times New Roman"/>
          <w:noProof/>
          <w:sz w:val="20"/>
          <w:szCs w:val="20"/>
        </w:rPr>
        <w:t xml:space="preserve">Rabot E (2014) Le contrôle des émissions de protoxyde d’azote par le fonctionnement hydrique des sols. Thèse de </w:t>
      </w:r>
      <w:r w:rsidR="000E7C15" w:rsidRPr="003F04C8">
        <w:rPr>
          <w:rFonts w:cs="Times New Roman"/>
          <w:noProof/>
          <w:sz w:val="20"/>
          <w:szCs w:val="20"/>
        </w:rPr>
        <w:t>D</w:t>
      </w:r>
      <w:r w:rsidRPr="003F04C8">
        <w:rPr>
          <w:rFonts w:cs="Times New Roman"/>
          <w:noProof/>
          <w:sz w:val="20"/>
          <w:szCs w:val="20"/>
        </w:rPr>
        <w:t>octorat, Université d’Orléans.</w:t>
      </w:r>
    </w:p>
    <w:p w:rsidR="00B27650" w:rsidRDefault="009D63E8" w:rsidP="00860068">
      <w:pPr>
        <w:pStyle w:val="texte"/>
        <w:spacing w:line="240" w:lineRule="auto"/>
        <w:rPr>
          <w:rFonts w:cs="Times New Roman"/>
          <w:noProof/>
          <w:sz w:val="20"/>
          <w:szCs w:val="20"/>
          <w:lang w:val="en-US"/>
        </w:rPr>
      </w:pPr>
      <w:bookmarkStart w:id="7" w:name="_ENREF_4"/>
      <w:r w:rsidRPr="003F04C8">
        <w:rPr>
          <w:rFonts w:cs="Times New Roman"/>
          <w:noProof/>
          <w:sz w:val="20"/>
          <w:szCs w:val="20"/>
        </w:rPr>
        <w:t xml:space="preserve">Weihermüller L, Huisman JA, Graf A, Herbst M, Sequaris JM (2009) Multistep outflow experiments to determine soil physical and carbon dioxide production parameters. </w:t>
      </w:r>
      <w:r w:rsidRPr="003F04C8">
        <w:rPr>
          <w:rFonts w:cs="Times New Roman"/>
          <w:i/>
          <w:noProof/>
          <w:sz w:val="20"/>
          <w:szCs w:val="20"/>
          <w:lang w:val="en-US"/>
        </w:rPr>
        <w:t>Vadose Zone J</w:t>
      </w:r>
      <w:r w:rsidR="000E7C15" w:rsidRPr="003F04C8">
        <w:rPr>
          <w:rFonts w:cs="Times New Roman"/>
          <w:i/>
          <w:noProof/>
          <w:sz w:val="20"/>
          <w:szCs w:val="20"/>
          <w:lang w:val="en-US"/>
        </w:rPr>
        <w:t xml:space="preserve"> </w:t>
      </w:r>
      <w:r w:rsidRPr="003F04C8">
        <w:rPr>
          <w:rFonts w:cs="Times New Roman"/>
          <w:noProof/>
          <w:sz w:val="20"/>
          <w:szCs w:val="20"/>
          <w:lang w:val="en-US"/>
        </w:rPr>
        <w:t xml:space="preserve"> </w:t>
      </w:r>
      <w:r w:rsidRPr="003F04C8">
        <w:rPr>
          <w:rFonts w:cs="Times New Roman"/>
          <w:b/>
          <w:noProof/>
          <w:sz w:val="20"/>
          <w:szCs w:val="20"/>
          <w:lang w:val="en-US"/>
        </w:rPr>
        <w:t>8</w:t>
      </w:r>
      <w:r w:rsidR="000E7C15" w:rsidRPr="003F04C8">
        <w:rPr>
          <w:rFonts w:cs="Times New Roman"/>
          <w:b/>
          <w:noProof/>
          <w:sz w:val="20"/>
          <w:szCs w:val="20"/>
          <w:lang w:val="en-US"/>
        </w:rPr>
        <w:t xml:space="preserve"> </w:t>
      </w:r>
      <w:r w:rsidRPr="003F04C8">
        <w:rPr>
          <w:rFonts w:cs="Times New Roman"/>
          <w:noProof/>
          <w:sz w:val="20"/>
          <w:szCs w:val="20"/>
          <w:lang w:val="en-US"/>
        </w:rPr>
        <w:t>: 772-782.</w:t>
      </w:r>
      <w:bookmarkEnd w:id="7"/>
    </w:p>
    <w:p w:rsidR="00CD1127" w:rsidRPr="00CD1127" w:rsidRDefault="00CD1127" w:rsidP="00CD1127">
      <w:pPr>
        <w:pStyle w:val="texte"/>
        <w:spacing w:line="240" w:lineRule="auto"/>
        <w:rPr>
          <w:rFonts w:cs="Times New Roman"/>
          <w:noProof/>
          <w:sz w:val="20"/>
          <w:szCs w:val="20"/>
          <w:lang w:val="en-US"/>
        </w:rPr>
      </w:pPr>
      <w:r w:rsidRPr="00CD1127">
        <w:rPr>
          <w:rFonts w:cs="Times New Roman"/>
          <w:noProof/>
          <w:sz w:val="20"/>
          <w:szCs w:val="20"/>
          <w:highlight w:val="yellow"/>
          <w:lang w:val="en-US"/>
        </w:rPr>
        <w:t>Gaudu</w:t>
      </w:r>
      <w:r w:rsidRPr="00CD1127">
        <w:rPr>
          <w:rFonts w:cs="Times New Roman"/>
          <w:noProof/>
          <w:sz w:val="20"/>
          <w:szCs w:val="20"/>
          <w:highlight w:val="yellow"/>
          <w:lang w:val="en-US"/>
        </w:rPr>
        <w:t xml:space="preserve"> JC, Bourlet M, Mohrath D, Chanzy A, Bertuzzi P</w:t>
      </w:r>
      <w:r w:rsidRPr="00CD1127">
        <w:rPr>
          <w:rFonts w:cs="Times New Roman"/>
          <w:noProof/>
          <w:sz w:val="20"/>
          <w:szCs w:val="20"/>
          <w:highlight w:val="yellow"/>
          <w:lang w:val="en-US"/>
        </w:rPr>
        <w:t xml:space="preserve"> </w:t>
      </w:r>
      <w:r w:rsidRPr="00CD1127">
        <w:rPr>
          <w:rFonts w:cs="Times New Roman"/>
          <w:noProof/>
          <w:sz w:val="20"/>
          <w:szCs w:val="20"/>
          <w:highlight w:val="yellow"/>
          <w:lang w:val="en-US"/>
        </w:rPr>
        <w:t>(1996). Méthode de Wind. Notice technique. Version 1.</w:t>
      </w:r>
      <w:r w:rsidRPr="00CD1127">
        <w:rPr>
          <w:rFonts w:cs="Times New Roman"/>
          <w:noProof/>
          <w:sz w:val="20"/>
          <w:szCs w:val="20"/>
          <w:lang w:val="en-US"/>
        </w:rPr>
        <w:t xml:space="preserve"> </w:t>
      </w:r>
      <w:r w:rsidRPr="00CD1127">
        <w:rPr>
          <w:rFonts w:cs="Times New Roman"/>
          <w:noProof/>
          <w:sz w:val="20"/>
          <w:szCs w:val="20"/>
          <w:lang w:val="en-US"/>
        </w:rPr>
        <w:br/>
      </w:r>
    </w:p>
    <w:sectPr w:rsidR="00CD1127" w:rsidRPr="00CD1127" w:rsidSect="00223173">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ECD" w:rsidRDefault="00C53ECD" w:rsidP="009D63E8">
      <w:pPr>
        <w:spacing w:after="0" w:line="240" w:lineRule="auto"/>
      </w:pPr>
      <w:r>
        <w:separator/>
      </w:r>
    </w:p>
  </w:endnote>
  <w:endnote w:type="continuationSeparator" w:id="0">
    <w:p w:rsidR="00C53ECD" w:rsidRDefault="00C53ECD" w:rsidP="009D63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ECE" w:rsidRDefault="00130EC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24340"/>
      <w:docPartObj>
        <w:docPartGallery w:val="Page Numbers (Bottom of Page)"/>
        <w:docPartUnique/>
      </w:docPartObj>
    </w:sdtPr>
    <w:sdtEndPr/>
    <w:sdtContent>
      <w:p w:rsidR="00130ECE" w:rsidRDefault="00E831DE">
        <w:pPr>
          <w:pStyle w:val="Pieddepage"/>
          <w:jc w:val="right"/>
        </w:pPr>
        <w:r>
          <w:fldChar w:fldCharType="begin"/>
        </w:r>
        <w:r>
          <w:instrText>PAGE   \* MERGEFORMAT</w:instrText>
        </w:r>
        <w:r>
          <w:fldChar w:fldCharType="separate"/>
        </w:r>
        <w:r w:rsidR="00CD1127">
          <w:rPr>
            <w:noProof/>
          </w:rPr>
          <w:t>4</w:t>
        </w:r>
        <w:r>
          <w:rPr>
            <w:noProof/>
          </w:rPr>
          <w:fldChar w:fldCharType="end"/>
        </w:r>
      </w:p>
    </w:sdtContent>
  </w:sdt>
  <w:p w:rsidR="00130ECE" w:rsidRDefault="00130EC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ECE" w:rsidRDefault="00130EC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ECD" w:rsidRDefault="00C53ECD" w:rsidP="009D63E8">
      <w:pPr>
        <w:spacing w:after="0" w:line="240" w:lineRule="auto"/>
      </w:pPr>
      <w:r>
        <w:separator/>
      </w:r>
    </w:p>
  </w:footnote>
  <w:footnote w:type="continuationSeparator" w:id="0">
    <w:p w:rsidR="00C53ECD" w:rsidRDefault="00C53ECD" w:rsidP="009D63E8">
      <w:pPr>
        <w:spacing w:after="0" w:line="240" w:lineRule="auto"/>
      </w:pPr>
      <w:r>
        <w:continuationSeparator/>
      </w:r>
    </w:p>
  </w:footnote>
  <w:footnote w:id="1">
    <w:p w:rsidR="00130ECE" w:rsidRPr="009013CC" w:rsidRDefault="00130ECE">
      <w:pPr>
        <w:pStyle w:val="Notedebasdepage"/>
        <w:rPr>
          <w:rFonts w:ascii="Arial Narrow" w:hAnsi="Arial Narrow"/>
          <w:i/>
          <w:sz w:val="18"/>
          <w:szCs w:val="18"/>
        </w:rPr>
      </w:pPr>
      <w:r w:rsidRPr="009013CC">
        <w:rPr>
          <w:rStyle w:val="Appelnotedebasdep"/>
          <w:rFonts w:ascii="Arial Narrow" w:hAnsi="Arial Narrow"/>
          <w:i/>
          <w:sz w:val="18"/>
          <w:szCs w:val="18"/>
        </w:rPr>
        <w:footnoteRef/>
      </w:r>
      <w:r w:rsidRPr="009013CC">
        <w:rPr>
          <w:rFonts w:ascii="Arial Narrow" w:hAnsi="Arial Narrow"/>
          <w:i/>
          <w:sz w:val="18"/>
          <w:szCs w:val="18"/>
        </w:rPr>
        <w:t xml:space="preserve"> INRA, UR 272 Science du Sol, F-45075 Orléans, France ; </w:t>
      </w:r>
      <w:hyperlink r:id="rId1" w:history="1">
        <w:r w:rsidRPr="009013CC">
          <w:rPr>
            <w:rStyle w:val="Lienhypertexte"/>
            <w:rFonts w:ascii="Arial Narrow" w:hAnsi="Arial Narrow"/>
            <w:i/>
            <w:sz w:val="18"/>
            <w:szCs w:val="18"/>
          </w:rPr>
          <w:t>Guillaume.Giot@orleans.inra.fr</w:t>
        </w:r>
      </w:hyperlink>
      <w:r w:rsidRPr="009013CC">
        <w:rPr>
          <w:rFonts w:ascii="Arial Narrow" w:hAnsi="Arial Narrow"/>
          <w:i/>
          <w:sz w:val="18"/>
          <w:szCs w:val="18"/>
        </w:rPr>
        <w:br/>
        <w:t xml:space="preserve"> </w:t>
      </w:r>
    </w:p>
  </w:footnote>
  <w:footnote w:id="2">
    <w:p w:rsidR="00130ECE" w:rsidRPr="009013CC" w:rsidRDefault="00130ECE">
      <w:pPr>
        <w:pStyle w:val="Notedebasdepage"/>
        <w:rPr>
          <w:rFonts w:ascii="Arial Narrow" w:hAnsi="Arial Narrow"/>
          <w:i/>
          <w:sz w:val="18"/>
          <w:szCs w:val="18"/>
        </w:rPr>
      </w:pPr>
      <w:r w:rsidRPr="009013CC">
        <w:rPr>
          <w:rStyle w:val="Appelnotedebasdep"/>
          <w:rFonts w:ascii="Arial Narrow" w:hAnsi="Arial Narrow"/>
          <w:i/>
          <w:sz w:val="18"/>
          <w:szCs w:val="18"/>
        </w:rPr>
        <w:footnoteRef/>
      </w:r>
      <w:r w:rsidRPr="009013CC">
        <w:rPr>
          <w:rFonts w:ascii="Arial Narrow" w:hAnsi="Arial Narrow"/>
          <w:i/>
          <w:sz w:val="18"/>
          <w:szCs w:val="18"/>
        </w:rPr>
        <w:t xml:space="preserve"> INRA, UR874 Ecosystème prairial, F-63009 Clermont-Ferrand, </w:t>
      </w:r>
      <w:r w:rsidR="00D761CE" w:rsidRPr="009013CC">
        <w:rPr>
          <w:rFonts w:ascii="Arial Narrow" w:hAnsi="Arial Narrow"/>
          <w:i/>
          <w:sz w:val="18"/>
          <w:szCs w:val="18"/>
        </w:rPr>
        <w:t>F</w:t>
      </w:r>
      <w:r w:rsidRPr="009013CC">
        <w:rPr>
          <w:rFonts w:ascii="Arial Narrow" w:hAnsi="Arial Narrow"/>
          <w:i/>
          <w:sz w:val="18"/>
          <w:szCs w:val="18"/>
        </w:rPr>
        <w:t>rance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ECE" w:rsidRDefault="00130EC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ECE" w:rsidRDefault="00130EC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ECE" w:rsidRDefault="00130EC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6DDD"/>
    <w:multiLevelType w:val="multilevel"/>
    <w:tmpl w:val="97FE4F14"/>
    <w:lvl w:ilvl="0">
      <w:start w:val="1"/>
      <w:numFmt w:val="none"/>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12" w:hanging="504"/>
      </w:pPr>
      <w:rPr>
        <w:rFonts w:hint="default"/>
      </w:rPr>
    </w:lvl>
    <w:lvl w:ilvl="3">
      <w:start w:val="1"/>
      <w:numFmt w:val="decimal"/>
      <w:lvlText w:val="%1%2.%3.%4."/>
      <w:lvlJc w:val="left"/>
      <w:pPr>
        <w:ind w:left="1728" w:hanging="648"/>
      </w:pPr>
      <w:rPr>
        <w:rFonts w:hint="default"/>
      </w:rPr>
    </w:lvl>
    <w:lvl w:ilvl="4">
      <w:start w:val="1"/>
      <w:numFmt w:val="decimal"/>
      <w:pStyle w:val="Titre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41D70EAB"/>
    <w:multiLevelType w:val="multilevel"/>
    <w:tmpl w:val="876A69A4"/>
    <w:lvl w:ilvl="0">
      <w:start w:val="1"/>
      <w:numFmt w:val="none"/>
      <w:pStyle w:val="Titr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7F646281"/>
    <w:multiLevelType w:val="hybridMultilevel"/>
    <w:tmpl w:val="86C8066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1"/>
  </w:num>
  <w:num w:numId="6">
    <w:abstractNumId w:val="0"/>
  </w:num>
  <w:num w:numId="7">
    <w:abstractNumId w:val="0"/>
  </w:num>
  <w:num w:numId="8">
    <w:abstractNumId w:val="0"/>
  </w:num>
  <w:num w:numId="9">
    <w:abstractNumId w:val="0"/>
  </w:num>
  <w:num w:numId="10">
    <w:abstractNumId w:val="1"/>
  </w:num>
  <w:num w:numId="11">
    <w:abstractNumId w:val="0"/>
  </w:num>
  <w:num w:numId="12">
    <w:abstractNumId w:val="0"/>
  </w:num>
  <w:num w:numId="13">
    <w:abstractNumId w:val="0"/>
  </w:num>
  <w:num w:numId="14">
    <w:abstractNumId w:val="0"/>
  </w:num>
  <w:num w:numId="15">
    <w:abstractNumId w:val="1"/>
  </w:num>
  <w:num w:numId="16">
    <w:abstractNumId w:val="0"/>
  </w:num>
  <w:num w:numId="17">
    <w:abstractNumId w:val="0"/>
  </w:num>
  <w:num w:numId="18">
    <w:abstractNumId w:val="0"/>
  </w:num>
  <w:num w:numId="19">
    <w:abstractNumId w:val="0"/>
  </w:num>
  <w:num w:numId="20">
    <w:abstractNumId w:val="1"/>
  </w:num>
  <w:num w:numId="21">
    <w:abstractNumId w:val="0"/>
  </w:num>
  <w:num w:numId="22">
    <w:abstractNumId w:val="0"/>
  </w:num>
  <w:num w:numId="23">
    <w:abstractNumId w:val="0"/>
  </w:num>
  <w:num w:numId="24">
    <w:abstractNumId w:val="0"/>
  </w:num>
  <w:num w:numId="25">
    <w:abstractNumId w:val="1"/>
  </w:num>
  <w:num w:numId="26">
    <w:abstractNumId w:val="0"/>
  </w:num>
  <w:num w:numId="27">
    <w:abstractNumId w:val="0"/>
  </w:num>
  <w:num w:numId="28">
    <w:abstractNumId w:val="0"/>
  </w:num>
  <w:num w:numId="29">
    <w:abstractNumId w:val="0"/>
  </w:num>
  <w:num w:numId="30">
    <w:abstractNumId w:val="1"/>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s>
  <w:rsids>
    <w:rsidRoot w:val="009D63E8"/>
    <w:rsid w:val="00007AB8"/>
    <w:rsid w:val="0002761B"/>
    <w:rsid w:val="00055FF3"/>
    <w:rsid w:val="0008331E"/>
    <w:rsid w:val="000C1B67"/>
    <w:rsid w:val="000D7B76"/>
    <w:rsid w:val="000E7C15"/>
    <w:rsid w:val="001051E2"/>
    <w:rsid w:val="0012180E"/>
    <w:rsid w:val="00124E04"/>
    <w:rsid w:val="00130ECE"/>
    <w:rsid w:val="00132409"/>
    <w:rsid w:val="001436EC"/>
    <w:rsid w:val="0018292A"/>
    <w:rsid w:val="00196423"/>
    <w:rsid w:val="001C49BD"/>
    <w:rsid w:val="001C744A"/>
    <w:rsid w:val="00223173"/>
    <w:rsid w:val="0022761A"/>
    <w:rsid w:val="00245DDA"/>
    <w:rsid w:val="002A7F4B"/>
    <w:rsid w:val="002D1810"/>
    <w:rsid w:val="002D2052"/>
    <w:rsid w:val="002D4162"/>
    <w:rsid w:val="002E4AAC"/>
    <w:rsid w:val="00357E0C"/>
    <w:rsid w:val="003A473D"/>
    <w:rsid w:val="003C11E0"/>
    <w:rsid w:val="003E2597"/>
    <w:rsid w:val="003E2C39"/>
    <w:rsid w:val="003F04C8"/>
    <w:rsid w:val="003F41C9"/>
    <w:rsid w:val="003F4420"/>
    <w:rsid w:val="003F5BE8"/>
    <w:rsid w:val="004020BE"/>
    <w:rsid w:val="00412645"/>
    <w:rsid w:val="004170A8"/>
    <w:rsid w:val="0041755F"/>
    <w:rsid w:val="00436B63"/>
    <w:rsid w:val="00445EED"/>
    <w:rsid w:val="0045723B"/>
    <w:rsid w:val="004629FE"/>
    <w:rsid w:val="004974E5"/>
    <w:rsid w:val="004A63AC"/>
    <w:rsid w:val="005125DF"/>
    <w:rsid w:val="00555D5F"/>
    <w:rsid w:val="005701D1"/>
    <w:rsid w:val="005B0AAF"/>
    <w:rsid w:val="005B155D"/>
    <w:rsid w:val="005F59FF"/>
    <w:rsid w:val="005F7FB0"/>
    <w:rsid w:val="0060136F"/>
    <w:rsid w:val="006078A4"/>
    <w:rsid w:val="00663877"/>
    <w:rsid w:val="00665C67"/>
    <w:rsid w:val="0068478E"/>
    <w:rsid w:val="006E7341"/>
    <w:rsid w:val="00717F03"/>
    <w:rsid w:val="00766EB4"/>
    <w:rsid w:val="00787690"/>
    <w:rsid w:val="007917A7"/>
    <w:rsid w:val="007B51BB"/>
    <w:rsid w:val="00823036"/>
    <w:rsid w:val="00824A17"/>
    <w:rsid w:val="0082508E"/>
    <w:rsid w:val="008428D5"/>
    <w:rsid w:val="00853C63"/>
    <w:rsid w:val="00860068"/>
    <w:rsid w:val="00864736"/>
    <w:rsid w:val="008929BC"/>
    <w:rsid w:val="008B48DC"/>
    <w:rsid w:val="008E36BD"/>
    <w:rsid w:val="008E5A84"/>
    <w:rsid w:val="008F2799"/>
    <w:rsid w:val="009013CC"/>
    <w:rsid w:val="00913C36"/>
    <w:rsid w:val="009C09A2"/>
    <w:rsid w:val="009D63E8"/>
    <w:rsid w:val="00A52AB0"/>
    <w:rsid w:val="00AC0650"/>
    <w:rsid w:val="00AC6314"/>
    <w:rsid w:val="00B27650"/>
    <w:rsid w:val="00B367E7"/>
    <w:rsid w:val="00B57C02"/>
    <w:rsid w:val="00B6460D"/>
    <w:rsid w:val="00B767FF"/>
    <w:rsid w:val="00B77408"/>
    <w:rsid w:val="00BA1DB9"/>
    <w:rsid w:val="00BA6059"/>
    <w:rsid w:val="00BA7614"/>
    <w:rsid w:val="00BF3E23"/>
    <w:rsid w:val="00BF4A02"/>
    <w:rsid w:val="00BF5A5F"/>
    <w:rsid w:val="00C11A15"/>
    <w:rsid w:val="00C53ECD"/>
    <w:rsid w:val="00C663FF"/>
    <w:rsid w:val="00C67990"/>
    <w:rsid w:val="00CB4B6D"/>
    <w:rsid w:val="00CD1127"/>
    <w:rsid w:val="00D234CF"/>
    <w:rsid w:val="00D31797"/>
    <w:rsid w:val="00D65418"/>
    <w:rsid w:val="00D761CE"/>
    <w:rsid w:val="00DB5EAE"/>
    <w:rsid w:val="00E34DB3"/>
    <w:rsid w:val="00E74287"/>
    <w:rsid w:val="00E831DE"/>
    <w:rsid w:val="00EA1D49"/>
    <w:rsid w:val="00EA466A"/>
    <w:rsid w:val="00EA4B79"/>
    <w:rsid w:val="00FB59A5"/>
    <w:rsid w:val="00FF1D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D63E8"/>
    <w:pPr>
      <w:spacing w:after="200" w:line="276" w:lineRule="auto"/>
    </w:pPr>
    <w:rPr>
      <w:rFonts w:asciiTheme="minorHAnsi" w:eastAsiaTheme="minorHAnsi" w:hAnsiTheme="minorHAnsi" w:cstheme="minorBidi"/>
      <w:sz w:val="22"/>
      <w:szCs w:val="22"/>
    </w:rPr>
  </w:style>
  <w:style w:type="paragraph" w:styleId="Titre1">
    <w:name w:val="heading 1"/>
    <w:aliases w:val="titre article"/>
    <w:basedOn w:val="Normal"/>
    <w:next w:val="Normal"/>
    <w:link w:val="Titre1Car"/>
    <w:autoRedefine/>
    <w:uiPriority w:val="9"/>
    <w:qFormat/>
    <w:rsid w:val="009D63E8"/>
    <w:pPr>
      <w:keepNext/>
      <w:overflowPunct w:val="0"/>
      <w:autoSpaceDE w:val="0"/>
      <w:autoSpaceDN w:val="0"/>
      <w:adjustRightInd w:val="0"/>
      <w:spacing w:before="120" w:after="120" w:line="480" w:lineRule="auto"/>
      <w:ind w:left="2124"/>
      <w:outlineLvl w:val="0"/>
    </w:pPr>
    <w:rPr>
      <w:rFonts w:ascii="Arial Narrow" w:eastAsiaTheme="majorEastAsia" w:hAnsi="Arial Narrow" w:cstheme="majorBidi"/>
      <w:b/>
      <w:bCs/>
      <w:color w:val="76923C" w:themeColor="accent3" w:themeShade="BF"/>
      <w:kern w:val="32"/>
      <w:sz w:val="32"/>
      <w:szCs w:val="32"/>
    </w:rPr>
  </w:style>
  <w:style w:type="paragraph" w:styleId="Titre2">
    <w:name w:val="heading 2"/>
    <w:basedOn w:val="Normal"/>
    <w:next w:val="Normal"/>
    <w:link w:val="Titre2Car"/>
    <w:uiPriority w:val="9"/>
    <w:unhideWhenUsed/>
    <w:qFormat/>
    <w:rsid w:val="009D63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9D63E8"/>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aliases w:val="2 é sous titre titre niveau 4"/>
    <w:basedOn w:val="Normal"/>
    <w:next w:val="Normal"/>
    <w:link w:val="Titre4Car"/>
    <w:uiPriority w:val="9"/>
    <w:unhideWhenUsed/>
    <w:qFormat/>
    <w:rsid w:val="009D63E8"/>
    <w:pPr>
      <w:keepNext/>
      <w:keepLines/>
      <w:spacing w:before="100" w:beforeAutospacing="1" w:after="100" w:afterAutospacing="1"/>
      <w:outlineLvl w:val="3"/>
    </w:pPr>
    <w:rPr>
      <w:rFonts w:ascii="Arial Narrow" w:eastAsiaTheme="majorEastAsia" w:hAnsi="Arial Narrow" w:cstheme="majorBidi"/>
      <w:b/>
      <w:bCs/>
      <w:iCs/>
      <w:color w:val="76923C" w:themeColor="accent3" w:themeShade="BF"/>
      <w:u w:val="single"/>
    </w:rPr>
  </w:style>
  <w:style w:type="paragraph" w:styleId="Titre5">
    <w:name w:val="heading 5"/>
    <w:basedOn w:val="Titre4"/>
    <w:next w:val="Normal"/>
    <w:link w:val="Titre5Car"/>
    <w:uiPriority w:val="9"/>
    <w:qFormat/>
    <w:rsid w:val="003E2C39"/>
    <w:pPr>
      <w:numPr>
        <w:ilvl w:val="4"/>
        <w:numId w:val="4"/>
      </w:numPr>
      <w:outlineLvl w:val="4"/>
    </w:pPr>
    <w:rPr>
      <w:i/>
    </w:rPr>
  </w:style>
  <w:style w:type="paragraph" w:styleId="Titre6">
    <w:name w:val="heading 6"/>
    <w:basedOn w:val="Normal"/>
    <w:next w:val="Normal"/>
    <w:link w:val="Titre6Car"/>
    <w:uiPriority w:val="9"/>
    <w:qFormat/>
    <w:rsid w:val="003E2C39"/>
    <w:pPr>
      <w:keepNext/>
      <w:keepLines/>
      <w:outlineLvl w:val="5"/>
    </w:pPr>
    <w:rPr>
      <w:i/>
      <w:iCs/>
      <w:szCs w:val="24"/>
    </w:rPr>
  </w:style>
  <w:style w:type="paragraph" w:styleId="Titre7">
    <w:name w:val="heading 7"/>
    <w:basedOn w:val="Normal"/>
    <w:next w:val="Normal"/>
    <w:link w:val="Titre7Car"/>
    <w:uiPriority w:val="9"/>
    <w:qFormat/>
    <w:rsid w:val="003E2C39"/>
    <w:pPr>
      <w:keepNext/>
      <w:keepLines/>
      <w:outlineLvl w:val="6"/>
    </w:pPr>
    <w:rPr>
      <w:rFonts w:ascii="Cambria" w:hAnsi="Cambria"/>
      <w:i/>
      <w:iCs/>
      <w:color w:val="404040"/>
      <w:szCs w:val="24"/>
    </w:rPr>
  </w:style>
  <w:style w:type="paragraph" w:styleId="Titre8">
    <w:name w:val="heading 8"/>
    <w:basedOn w:val="Normal"/>
    <w:next w:val="Normal"/>
    <w:link w:val="Titre8Car"/>
    <w:uiPriority w:val="9"/>
    <w:qFormat/>
    <w:rsid w:val="003E2C39"/>
    <w:pPr>
      <w:keepNext/>
      <w:keepLines/>
      <w:outlineLvl w:val="7"/>
    </w:pPr>
    <w:rPr>
      <w:rFonts w:ascii="Cambria" w:hAnsi="Cambria"/>
      <w:color w:val="404040"/>
      <w:sz w:val="20"/>
    </w:rPr>
  </w:style>
  <w:style w:type="paragraph" w:styleId="Titre9">
    <w:name w:val="heading 9"/>
    <w:basedOn w:val="Normal"/>
    <w:next w:val="Normal"/>
    <w:link w:val="Titre9Car"/>
    <w:uiPriority w:val="9"/>
    <w:qFormat/>
    <w:rsid w:val="003E2C39"/>
    <w:pPr>
      <w:keepNext/>
      <w:keepLines/>
      <w:outlineLvl w:val="8"/>
    </w:pPr>
    <w:rPr>
      <w:rFonts w:ascii="Cambria" w:hAnsi="Cambria"/>
      <w:i/>
      <w:iCs/>
      <w:color w:val="40404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Rfrencebibliographique">
    <w:name w:val="Référence bibliographique"/>
    <w:basedOn w:val="Normal"/>
    <w:link w:val="RfrencebibliographiqueCar"/>
    <w:uiPriority w:val="2"/>
    <w:qFormat/>
    <w:rsid w:val="003E2C39"/>
    <w:rPr>
      <w:sz w:val="20"/>
    </w:rPr>
  </w:style>
  <w:style w:type="character" w:customStyle="1" w:styleId="RfrencebibliographiqueCar">
    <w:name w:val="Référence bibliographique Car"/>
    <w:link w:val="Rfrencebibliographique"/>
    <w:uiPriority w:val="2"/>
    <w:rsid w:val="003E2C39"/>
    <w:rPr>
      <w:rFonts w:ascii="Times New Roman" w:hAnsi="Times New Roman"/>
    </w:rPr>
  </w:style>
  <w:style w:type="character" w:customStyle="1" w:styleId="Titre1Car">
    <w:name w:val="Titre 1 Car"/>
    <w:aliases w:val="titre article Car"/>
    <w:basedOn w:val="Policepardfaut"/>
    <w:link w:val="Titre1"/>
    <w:uiPriority w:val="9"/>
    <w:rsid w:val="009D63E8"/>
    <w:rPr>
      <w:rFonts w:ascii="Arial Narrow" w:eastAsiaTheme="majorEastAsia" w:hAnsi="Arial Narrow" w:cstheme="majorBidi"/>
      <w:b/>
      <w:bCs/>
      <w:color w:val="76923C" w:themeColor="accent3" w:themeShade="BF"/>
      <w:kern w:val="32"/>
      <w:sz w:val="32"/>
      <w:szCs w:val="32"/>
    </w:rPr>
  </w:style>
  <w:style w:type="character" w:customStyle="1" w:styleId="Titre2Car">
    <w:name w:val="Titre 2 Car"/>
    <w:basedOn w:val="Policepardfaut"/>
    <w:link w:val="Titre2"/>
    <w:uiPriority w:val="9"/>
    <w:rsid w:val="009D63E8"/>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9D63E8"/>
    <w:rPr>
      <w:rFonts w:asciiTheme="majorHAnsi" w:eastAsiaTheme="majorEastAsia" w:hAnsiTheme="majorHAnsi" w:cstheme="majorBidi"/>
      <w:b/>
      <w:bCs/>
      <w:color w:val="4F81BD" w:themeColor="accent1"/>
      <w:sz w:val="22"/>
      <w:szCs w:val="22"/>
    </w:rPr>
  </w:style>
  <w:style w:type="character" w:customStyle="1" w:styleId="Titre4Car">
    <w:name w:val="Titre 4 Car"/>
    <w:aliases w:val="2 é sous titre titre niveau 4 Car"/>
    <w:basedOn w:val="Policepardfaut"/>
    <w:link w:val="Titre4"/>
    <w:uiPriority w:val="9"/>
    <w:rsid w:val="009D63E8"/>
    <w:rPr>
      <w:rFonts w:ascii="Arial Narrow" w:eastAsiaTheme="majorEastAsia" w:hAnsi="Arial Narrow" w:cstheme="majorBidi"/>
      <w:b/>
      <w:bCs/>
      <w:iCs/>
      <w:color w:val="76923C" w:themeColor="accent3" w:themeShade="BF"/>
      <w:sz w:val="22"/>
      <w:szCs w:val="22"/>
      <w:u w:val="single"/>
    </w:rPr>
  </w:style>
  <w:style w:type="paragraph" w:styleId="Paragraphedeliste">
    <w:name w:val="List Paragraph"/>
    <w:basedOn w:val="Normal"/>
    <w:uiPriority w:val="34"/>
    <w:qFormat/>
    <w:rsid w:val="003E2C39"/>
    <w:pPr>
      <w:ind w:left="720"/>
      <w:contextualSpacing/>
    </w:pPr>
  </w:style>
  <w:style w:type="character" w:customStyle="1" w:styleId="Titre5Car">
    <w:name w:val="Titre 5 Car"/>
    <w:link w:val="Titre5"/>
    <w:uiPriority w:val="9"/>
    <w:rsid w:val="003E2C39"/>
    <w:rPr>
      <w:rFonts w:ascii="Times New Roman" w:hAnsi="Times New Roman"/>
      <w:sz w:val="24"/>
    </w:rPr>
  </w:style>
  <w:style w:type="character" w:customStyle="1" w:styleId="Titre6Car">
    <w:name w:val="Titre 6 Car"/>
    <w:link w:val="Titre6"/>
    <w:uiPriority w:val="9"/>
    <w:rsid w:val="003E2C39"/>
    <w:rPr>
      <w:rFonts w:ascii="Times New Roman" w:hAnsi="Times New Roman"/>
      <w:i/>
      <w:iCs/>
      <w:sz w:val="24"/>
      <w:szCs w:val="24"/>
    </w:rPr>
  </w:style>
  <w:style w:type="character" w:customStyle="1" w:styleId="Titre7Car">
    <w:name w:val="Titre 7 Car"/>
    <w:link w:val="Titre7"/>
    <w:uiPriority w:val="9"/>
    <w:rsid w:val="003E2C39"/>
    <w:rPr>
      <w:rFonts w:ascii="Cambria" w:hAnsi="Cambria"/>
      <w:i/>
      <w:iCs/>
      <w:color w:val="404040"/>
      <w:sz w:val="24"/>
      <w:szCs w:val="24"/>
    </w:rPr>
  </w:style>
  <w:style w:type="character" w:customStyle="1" w:styleId="Titre8Car">
    <w:name w:val="Titre 8 Car"/>
    <w:link w:val="Titre8"/>
    <w:uiPriority w:val="9"/>
    <w:rsid w:val="003E2C39"/>
    <w:rPr>
      <w:rFonts w:ascii="Cambria" w:hAnsi="Cambria"/>
      <w:color w:val="404040"/>
    </w:rPr>
  </w:style>
  <w:style w:type="character" w:customStyle="1" w:styleId="Titre9Car">
    <w:name w:val="Titre 9 Car"/>
    <w:link w:val="Titre9"/>
    <w:uiPriority w:val="9"/>
    <w:rsid w:val="003E2C39"/>
    <w:rPr>
      <w:rFonts w:ascii="Cambria" w:hAnsi="Cambria"/>
      <w:i/>
      <w:iCs/>
      <w:color w:val="404040"/>
    </w:rPr>
  </w:style>
  <w:style w:type="paragraph" w:styleId="Lgende">
    <w:name w:val="caption"/>
    <w:basedOn w:val="Normal"/>
    <w:next w:val="Normal"/>
    <w:uiPriority w:val="35"/>
    <w:unhideWhenUsed/>
    <w:qFormat/>
    <w:rsid w:val="009D63E8"/>
    <w:rPr>
      <w:rFonts w:ascii="Arial Narrow" w:hAnsi="Arial Narrow"/>
      <w:bCs/>
      <w:i/>
      <w:szCs w:val="18"/>
    </w:rPr>
  </w:style>
  <w:style w:type="paragraph" w:styleId="Titre">
    <w:name w:val="Title"/>
    <w:basedOn w:val="Normal"/>
    <w:next w:val="Normal"/>
    <w:link w:val="TitreCar"/>
    <w:uiPriority w:val="10"/>
    <w:qFormat/>
    <w:rsid w:val="003E2C39"/>
    <w:pPr>
      <w:numPr>
        <w:numId w:val="5"/>
      </w:numPr>
      <w:jc w:val="right"/>
      <w:outlineLvl w:val="0"/>
    </w:pPr>
    <w:rPr>
      <w:b/>
      <w:i/>
      <w:color w:val="244061"/>
      <w:sz w:val="36"/>
      <w:szCs w:val="36"/>
    </w:rPr>
  </w:style>
  <w:style w:type="character" w:customStyle="1" w:styleId="TitreCar">
    <w:name w:val="Titre Car"/>
    <w:link w:val="Titre"/>
    <w:uiPriority w:val="10"/>
    <w:rsid w:val="003E2C39"/>
    <w:rPr>
      <w:rFonts w:ascii="Times New Roman" w:hAnsi="Times New Roman"/>
      <w:b/>
      <w:i/>
      <w:color w:val="244061"/>
      <w:sz w:val="36"/>
      <w:szCs w:val="36"/>
    </w:rPr>
  </w:style>
  <w:style w:type="paragraph" w:styleId="Sous-titre">
    <w:name w:val="Subtitle"/>
    <w:basedOn w:val="Normal"/>
    <w:next w:val="Normal"/>
    <w:link w:val="Sous-titreCar"/>
    <w:uiPriority w:val="11"/>
    <w:qFormat/>
    <w:rsid w:val="003E2C39"/>
    <w:pPr>
      <w:numPr>
        <w:ilvl w:val="1"/>
      </w:numPr>
    </w:pPr>
    <w:rPr>
      <w:rFonts w:ascii="Cambria" w:hAnsi="Cambria"/>
      <w:i/>
      <w:iCs/>
      <w:color w:val="4F81BD"/>
      <w:spacing w:val="15"/>
      <w:szCs w:val="24"/>
    </w:rPr>
  </w:style>
  <w:style w:type="character" w:customStyle="1" w:styleId="Sous-titreCar">
    <w:name w:val="Sous-titre Car"/>
    <w:link w:val="Sous-titre"/>
    <w:uiPriority w:val="11"/>
    <w:rsid w:val="003E2C39"/>
    <w:rPr>
      <w:rFonts w:ascii="Cambria" w:hAnsi="Cambria"/>
      <w:i/>
      <w:iCs/>
      <w:color w:val="4F81BD"/>
      <w:spacing w:val="15"/>
      <w:sz w:val="24"/>
      <w:szCs w:val="24"/>
    </w:rPr>
  </w:style>
  <w:style w:type="character" w:styleId="lev">
    <w:name w:val="Strong"/>
    <w:uiPriority w:val="22"/>
    <w:qFormat/>
    <w:rsid w:val="003E2C39"/>
    <w:rPr>
      <w:b/>
      <w:bCs/>
    </w:rPr>
  </w:style>
  <w:style w:type="paragraph" w:styleId="Sansinterligne">
    <w:name w:val="No Spacing"/>
    <w:uiPriority w:val="1"/>
    <w:qFormat/>
    <w:rsid w:val="003E2C39"/>
    <w:pPr>
      <w:jc w:val="both"/>
    </w:pPr>
    <w:rPr>
      <w:rFonts w:ascii="Times New Roman" w:hAnsi="Times New Roman"/>
      <w:sz w:val="24"/>
      <w:szCs w:val="22"/>
      <w:lang w:eastAsia="fr-FR"/>
    </w:rPr>
  </w:style>
  <w:style w:type="paragraph" w:styleId="Citation">
    <w:name w:val="Quote"/>
    <w:basedOn w:val="Normal"/>
    <w:next w:val="Normal"/>
    <w:link w:val="CitationCar"/>
    <w:uiPriority w:val="29"/>
    <w:qFormat/>
    <w:rsid w:val="003E2C39"/>
    <w:rPr>
      <w:i/>
      <w:iCs/>
      <w:color w:val="000000"/>
      <w:szCs w:val="24"/>
    </w:rPr>
  </w:style>
  <w:style w:type="character" w:customStyle="1" w:styleId="CitationCar">
    <w:name w:val="Citation Car"/>
    <w:link w:val="Citation"/>
    <w:uiPriority w:val="29"/>
    <w:rsid w:val="003E2C39"/>
    <w:rPr>
      <w:rFonts w:ascii="Times New Roman" w:hAnsi="Times New Roman"/>
      <w:i/>
      <w:iCs/>
      <w:color w:val="000000"/>
      <w:sz w:val="24"/>
      <w:szCs w:val="24"/>
    </w:rPr>
  </w:style>
  <w:style w:type="paragraph" w:styleId="Citationintense">
    <w:name w:val="Intense Quote"/>
    <w:basedOn w:val="Normal"/>
    <w:next w:val="Normal"/>
    <w:link w:val="CitationintenseCar"/>
    <w:uiPriority w:val="30"/>
    <w:qFormat/>
    <w:rsid w:val="003E2C39"/>
    <w:pPr>
      <w:pBdr>
        <w:bottom w:val="single" w:sz="4" w:space="4" w:color="4F81BD"/>
      </w:pBdr>
      <w:spacing w:after="280"/>
      <w:ind w:left="936" w:right="936"/>
    </w:pPr>
    <w:rPr>
      <w:b/>
      <w:bCs/>
      <w:i/>
      <w:iCs/>
      <w:color w:val="4F81BD"/>
      <w:szCs w:val="24"/>
    </w:rPr>
  </w:style>
  <w:style w:type="character" w:customStyle="1" w:styleId="CitationintenseCar">
    <w:name w:val="Citation intense Car"/>
    <w:link w:val="Citationintense"/>
    <w:uiPriority w:val="30"/>
    <w:rsid w:val="003E2C39"/>
    <w:rPr>
      <w:rFonts w:ascii="Times New Roman" w:hAnsi="Times New Roman"/>
      <w:b/>
      <w:bCs/>
      <w:i/>
      <w:iCs/>
      <w:color w:val="4F81BD"/>
      <w:sz w:val="24"/>
      <w:szCs w:val="24"/>
    </w:rPr>
  </w:style>
  <w:style w:type="paragraph" w:styleId="En-ttedetabledesmatires">
    <w:name w:val="TOC Heading"/>
    <w:basedOn w:val="Titre1"/>
    <w:next w:val="Normal"/>
    <w:uiPriority w:val="39"/>
    <w:qFormat/>
    <w:rsid w:val="003E2C39"/>
    <w:pPr>
      <w:spacing w:line="276" w:lineRule="auto"/>
      <w:outlineLvl w:val="9"/>
    </w:pPr>
    <w:rPr>
      <w:rFonts w:ascii="Cambria" w:hAnsi="Cambria"/>
      <w:color w:val="365F91"/>
      <w:sz w:val="28"/>
    </w:rPr>
  </w:style>
  <w:style w:type="paragraph" w:customStyle="1" w:styleId="nomsauteurs">
    <w:name w:val="noms auteurs"/>
    <w:basedOn w:val="Normal"/>
    <w:qFormat/>
    <w:rsid w:val="009D63E8"/>
    <w:pPr>
      <w:spacing w:before="100" w:beforeAutospacing="1" w:after="100" w:afterAutospacing="1" w:line="360" w:lineRule="auto"/>
      <w:jc w:val="center"/>
    </w:pPr>
    <w:rPr>
      <w:rFonts w:ascii="Arial Narrow" w:hAnsi="Arial Narrow"/>
      <w:b/>
      <w:color w:val="76923C" w:themeColor="accent3" w:themeShade="BF"/>
      <w:sz w:val="28"/>
    </w:rPr>
  </w:style>
  <w:style w:type="paragraph" w:customStyle="1" w:styleId="adressenotebasdepage">
    <w:name w:val="adresse note bas de page"/>
    <w:basedOn w:val="Notedebasdepage"/>
    <w:qFormat/>
    <w:rsid w:val="009D63E8"/>
    <w:rPr>
      <w:rFonts w:ascii="Arial Narrow" w:hAnsi="Arial Narrow"/>
      <w:i/>
      <w:sz w:val="16"/>
    </w:rPr>
  </w:style>
  <w:style w:type="paragraph" w:styleId="Notedebasdepage">
    <w:name w:val="footnote text"/>
    <w:basedOn w:val="Normal"/>
    <w:link w:val="NotedebasdepageCar"/>
    <w:uiPriority w:val="99"/>
    <w:semiHidden/>
    <w:unhideWhenUsed/>
    <w:rsid w:val="009D63E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D63E8"/>
    <w:rPr>
      <w:rFonts w:asciiTheme="minorHAnsi" w:eastAsiaTheme="minorHAnsi" w:hAnsiTheme="minorHAnsi" w:cstheme="minorBidi"/>
    </w:rPr>
  </w:style>
  <w:style w:type="paragraph" w:customStyle="1" w:styleId="texte">
    <w:name w:val="texte"/>
    <w:basedOn w:val="Normal"/>
    <w:next w:val="nomsauteurs"/>
    <w:qFormat/>
    <w:rsid w:val="009D63E8"/>
    <w:pPr>
      <w:spacing w:before="100" w:beforeAutospacing="1" w:after="100" w:afterAutospacing="1"/>
      <w:jc w:val="both"/>
    </w:pPr>
    <w:rPr>
      <w:rFonts w:ascii="Arial Narrow" w:hAnsi="Arial Narrow"/>
    </w:rPr>
  </w:style>
  <w:style w:type="paragraph" w:customStyle="1" w:styleId="titreniveau2">
    <w:name w:val="titre niveau 2"/>
    <w:basedOn w:val="Titre3"/>
    <w:qFormat/>
    <w:rsid w:val="009D63E8"/>
    <w:pPr>
      <w:spacing w:before="100" w:beforeAutospacing="1" w:after="100" w:afterAutospacing="1"/>
    </w:pPr>
    <w:rPr>
      <w:rFonts w:ascii="Arial Narrow" w:hAnsi="Arial Narrow"/>
      <w:color w:val="76923C" w:themeColor="accent3" w:themeShade="BF"/>
      <w:sz w:val="28"/>
    </w:rPr>
  </w:style>
  <w:style w:type="paragraph" w:customStyle="1" w:styleId="titreniveau3">
    <w:name w:val="titre niveau 3"/>
    <w:basedOn w:val="texte"/>
    <w:qFormat/>
    <w:rsid w:val="009D63E8"/>
    <w:rPr>
      <w:b/>
      <w:color w:val="76923C" w:themeColor="accent3" w:themeShade="BF"/>
      <w:sz w:val="24"/>
    </w:rPr>
  </w:style>
  <w:style w:type="paragraph" w:customStyle="1" w:styleId="titredelarticle">
    <w:name w:val="titre de l'article"/>
    <w:basedOn w:val="Normal"/>
    <w:next w:val="Normal"/>
    <w:qFormat/>
    <w:rsid w:val="009D63E8"/>
    <w:pPr>
      <w:spacing w:before="120" w:after="120"/>
      <w:jc w:val="center"/>
    </w:pPr>
    <w:rPr>
      <w:rFonts w:ascii="Arial Narrow" w:hAnsi="Arial Narrow"/>
      <w:b/>
      <w:color w:val="76923C" w:themeColor="accent3" w:themeShade="BF"/>
      <w:sz w:val="32"/>
    </w:rPr>
  </w:style>
  <w:style w:type="paragraph" w:customStyle="1" w:styleId="titrersummotscls">
    <w:name w:val="titre résumé mots clés"/>
    <w:basedOn w:val="Normal"/>
    <w:next w:val="textersumetmotscls"/>
    <w:link w:val="titrersummotsclsCar"/>
    <w:qFormat/>
    <w:rsid w:val="009D63E8"/>
    <w:pPr>
      <w:spacing w:before="100" w:beforeAutospacing="1" w:after="100" w:afterAutospacing="1"/>
    </w:pPr>
    <w:rPr>
      <w:rFonts w:ascii="Arial Narrow" w:hAnsi="Arial Narrow"/>
      <w:b/>
      <w:color w:val="76923C" w:themeColor="accent3" w:themeShade="BF"/>
    </w:rPr>
  </w:style>
  <w:style w:type="paragraph" w:customStyle="1" w:styleId="textersumetmotscls">
    <w:name w:val="texte résumé et mots clés"/>
    <w:basedOn w:val="titrersummotscls"/>
    <w:link w:val="textersumetmotsclsCar"/>
    <w:qFormat/>
    <w:rsid w:val="009D63E8"/>
    <w:rPr>
      <w:b w:val="0"/>
    </w:rPr>
  </w:style>
  <w:style w:type="character" w:customStyle="1" w:styleId="titrersummotsclsCar">
    <w:name w:val="titre résumé mots clés Car"/>
    <w:basedOn w:val="Policepardfaut"/>
    <w:link w:val="titrersummotscls"/>
    <w:rsid w:val="009D63E8"/>
    <w:rPr>
      <w:rFonts w:ascii="Arial Narrow" w:eastAsiaTheme="minorHAnsi" w:hAnsi="Arial Narrow" w:cstheme="minorBidi"/>
      <w:b/>
      <w:color w:val="76923C" w:themeColor="accent3" w:themeShade="BF"/>
      <w:sz w:val="22"/>
      <w:szCs w:val="22"/>
    </w:rPr>
  </w:style>
  <w:style w:type="character" w:customStyle="1" w:styleId="textersumetmotsclsCar">
    <w:name w:val="texte résumé et mots clés Car"/>
    <w:basedOn w:val="titrersummotsclsCar"/>
    <w:link w:val="textersumetmotscls"/>
    <w:rsid w:val="009D63E8"/>
    <w:rPr>
      <w:rFonts w:ascii="Arial Narrow" w:eastAsiaTheme="minorHAnsi" w:hAnsi="Arial Narrow" w:cstheme="minorBidi"/>
      <w:b w:val="0"/>
      <w:color w:val="76923C" w:themeColor="accent3" w:themeShade="BF"/>
      <w:sz w:val="22"/>
      <w:szCs w:val="22"/>
    </w:rPr>
  </w:style>
  <w:style w:type="character" w:styleId="Appelnotedebasdep">
    <w:name w:val="footnote reference"/>
    <w:basedOn w:val="Policepardfaut"/>
    <w:uiPriority w:val="99"/>
    <w:unhideWhenUsed/>
    <w:rsid w:val="009D63E8"/>
    <w:rPr>
      <w:vertAlign w:val="superscript"/>
    </w:rPr>
  </w:style>
  <w:style w:type="paragraph" w:styleId="Notedefin">
    <w:name w:val="endnote text"/>
    <w:basedOn w:val="Normal"/>
    <w:link w:val="NotedefinCar"/>
    <w:uiPriority w:val="99"/>
    <w:semiHidden/>
    <w:unhideWhenUsed/>
    <w:rsid w:val="009D63E8"/>
    <w:pPr>
      <w:spacing w:after="0" w:line="240" w:lineRule="auto"/>
    </w:pPr>
    <w:rPr>
      <w:sz w:val="20"/>
      <w:szCs w:val="20"/>
    </w:rPr>
  </w:style>
  <w:style w:type="character" w:customStyle="1" w:styleId="NotedefinCar">
    <w:name w:val="Note de fin Car"/>
    <w:basedOn w:val="Policepardfaut"/>
    <w:link w:val="Notedefin"/>
    <w:uiPriority w:val="99"/>
    <w:semiHidden/>
    <w:rsid w:val="009D63E8"/>
    <w:rPr>
      <w:rFonts w:asciiTheme="minorHAnsi" w:eastAsiaTheme="minorHAnsi" w:hAnsiTheme="minorHAnsi" w:cstheme="minorBidi"/>
    </w:rPr>
  </w:style>
  <w:style w:type="character" w:styleId="Appeldenotedefin">
    <w:name w:val="endnote reference"/>
    <w:basedOn w:val="Policepardfaut"/>
    <w:uiPriority w:val="99"/>
    <w:semiHidden/>
    <w:unhideWhenUsed/>
    <w:rsid w:val="009D63E8"/>
    <w:rPr>
      <w:vertAlign w:val="superscript"/>
    </w:rPr>
  </w:style>
  <w:style w:type="paragraph" w:styleId="Explorateurdedocuments">
    <w:name w:val="Document Map"/>
    <w:basedOn w:val="Normal"/>
    <w:link w:val="ExplorateurdedocumentsCar"/>
    <w:uiPriority w:val="99"/>
    <w:semiHidden/>
    <w:unhideWhenUsed/>
    <w:rsid w:val="009D63E8"/>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9D63E8"/>
    <w:rPr>
      <w:rFonts w:ascii="Tahoma" w:eastAsiaTheme="minorHAnsi" w:hAnsi="Tahoma" w:cs="Tahoma"/>
      <w:sz w:val="16"/>
      <w:szCs w:val="16"/>
    </w:rPr>
  </w:style>
  <w:style w:type="character" w:styleId="Lienhypertexte">
    <w:name w:val="Hyperlink"/>
    <w:basedOn w:val="Policepardfaut"/>
    <w:uiPriority w:val="99"/>
    <w:unhideWhenUsed/>
    <w:rsid w:val="009D63E8"/>
    <w:rPr>
      <w:color w:val="0000FF" w:themeColor="hyperlink"/>
      <w:u w:val="single"/>
    </w:rPr>
  </w:style>
  <w:style w:type="paragraph" w:styleId="Textedebulles">
    <w:name w:val="Balloon Text"/>
    <w:basedOn w:val="Normal"/>
    <w:link w:val="TextedebullesCar"/>
    <w:uiPriority w:val="99"/>
    <w:semiHidden/>
    <w:unhideWhenUsed/>
    <w:rsid w:val="009D63E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63E8"/>
    <w:rPr>
      <w:rFonts w:ascii="Tahoma" w:eastAsiaTheme="minorHAnsi" w:hAnsi="Tahoma" w:cs="Tahoma"/>
      <w:sz w:val="16"/>
      <w:szCs w:val="16"/>
    </w:rPr>
  </w:style>
  <w:style w:type="character" w:styleId="Marquedecommentaire">
    <w:name w:val="annotation reference"/>
    <w:basedOn w:val="Policepardfaut"/>
    <w:uiPriority w:val="99"/>
    <w:semiHidden/>
    <w:unhideWhenUsed/>
    <w:rsid w:val="009D63E8"/>
    <w:rPr>
      <w:sz w:val="16"/>
      <w:szCs w:val="16"/>
    </w:rPr>
  </w:style>
  <w:style w:type="paragraph" w:styleId="Commentaire">
    <w:name w:val="annotation text"/>
    <w:basedOn w:val="Normal"/>
    <w:link w:val="CommentaireCar"/>
    <w:uiPriority w:val="99"/>
    <w:semiHidden/>
    <w:unhideWhenUsed/>
    <w:rsid w:val="009D63E8"/>
    <w:pPr>
      <w:spacing w:line="240" w:lineRule="auto"/>
    </w:pPr>
    <w:rPr>
      <w:sz w:val="20"/>
      <w:szCs w:val="20"/>
    </w:rPr>
  </w:style>
  <w:style w:type="character" w:customStyle="1" w:styleId="CommentaireCar">
    <w:name w:val="Commentaire Car"/>
    <w:basedOn w:val="Policepardfaut"/>
    <w:link w:val="Commentaire"/>
    <w:uiPriority w:val="99"/>
    <w:semiHidden/>
    <w:rsid w:val="009D63E8"/>
    <w:rPr>
      <w:rFonts w:asciiTheme="minorHAnsi" w:eastAsiaTheme="minorHAnsi" w:hAnsiTheme="minorHAnsi" w:cstheme="minorBidi"/>
    </w:rPr>
  </w:style>
  <w:style w:type="paragraph" w:styleId="Objetducommentaire">
    <w:name w:val="annotation subject"/>
    <w:basedOn w:val="Commentaire"/>
    <w:next w:val="Commentaire"/>
    <w:link w:val="ObjetducommentaireCar"/>
    <w:uiPriority w:val="99"/>
    <w:semiHidden/>
    <w:unhideWhenUsed/>
    <w:rsid w:val="009D63E8"/>
    <w:rPr>
      <w:b/>
      <w:bCs/>
    </w:rPr>
  </w:style>
  <w:style w:type="character" w:customStyle="1" w:styleId="ObjetducommentaireCar">
    <w:name w:val="Objet du commentaire Car"/>
    <w:basedOn w:val="CommentaireCar"/>
    <w:link w:val="Objetducommentaire"/>
    <w:uiPriority w:val="99"/>
    <w:semiHidden/>
    <w:rsid w:val="009D63E8"/>
    <w:rPr>
      <w:rFonts w:asciiTheme="minorHAnsi" w:eastAsiaTheme="minorHAnsi" w:hAnsiTheme="minorHAnsi" w:cstheme="minorBidi"/>
      <w:b/>
      <w:bCs/>
    </w:rPr>
  </w:style>
  <w:style w:type="character" w:customStyle="1" w:styleId="citebib">
    <w:name w:val="cite_bib"/>
    <w:basedOn w:val="Policepardfaut"/>
    <w:rsid w:val="009D63E8"/>
    <w:rPr>
      <w:bdr w:val="none" w:sz="0" w:space="0" w:color="auto"/>
      <w:shd w:val="clear" w:color="auto" w:fill="auto"/>
    </w:rPr>
  </w:style>
  <w:style w:type="paragraph" w:styleId="En-tte">
    <w:name w:val="header"/>
    <w:basedOn w:val="Normal"/>
    <w:link w:val="En-tteCar"/>
    <w:uiPriority w:val="99"/>
    <w:unhideWhenUsed/>
    <w:rsid w:val="00007AB8"/>
    <w:pPr>
      <w:tabs>
        <w:tab w:val="center" w:pos="4536"/>
        <w:tab w:val="right" w:pos="9072"/>
      </w:tabs>
      <w:spacing w:after="0" w:line="240" w:lineRule="auto"/>
    </w:pPr>
  </w:style>
  <w:style w:type="character" w:customStyle="1" w:styleId="En-tteCar">
    <w:name w:val="En-tête Car"/>
    <w:basedOn w:val="Policepardfaut"/>
    <w:link w:val="En-tte"/>
    <w:uiPriority w:val="99"/>
    <w:rsid w:val="00007AB8"/>
    <w:rPr>
      <w:rFonts w:asciiTheme="minorHAnsi" w:eastAsiaTheme="minorHAnsi" w:hAnsiTheme="minorHAnsi" w:cstheme="minorBidi"/>
      <w:sz w:val="22"/>
      <w:szCs w:val="22"/>
    </w:rPr>
  </w:style>
  <w:style w:type="paragraph" w:styleId="Pieddepage">
    <w:name w:val="footer"/>
    <w:basedOn w:val="Normal"/>
    <w:link w:val="PieddepageCar"/>
    <w:uiPriority w:val="99"/>
    <w:unhideWhenUsed/>
    <w:rsid w:val="00007A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7AB8"/>
    <w:rPr>
      <w:rFonts w:asciiTheme="minorHAnsi" w:eastAsiaTheme="minorHAnsi" w:hAnsiTheme="minorHAnsi" w:cstheme="minorBidi"/>
      <w:sz w:val="22"/>
      <w:szCs w:val="22"/>
    </w:rPr>
  </w:style>
  <w:style w:type="paragraph" w:styleId="Rvision">
    <w:name w:val="Revision"/>
    <w:hidden/>
    <w:uiPriority w:val="99"/>
    <w:semiHidden/>
    <w:rsid w:val="00E74287"/>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D63E8"/>
    <w:pPr>
      <w:spacing w:after="200" w:line="276" w:lineRule="auto"/>
    </w:pPr>
    <w:rPr>
      <w:rFonts w:asciiTheme="minorHAnsi" w:eastAsiaTheme="minorHAnsi" w:hAnsiTheme="minorHAnsi" w:cstheme="minorBidi"/>
      <w:sz w:val="22"/>
      <w:szCs w:val="22"/>
    </w:rPr>
  </w:style>
  <w:style w:type="paragraph" w:styleId="Titre1">
    <w:name w:val="heading 1"/>
    <w:aliases w:val="titre article"/>
    <w:basedOn w:val="Normal"/>
    <w:next w:val="Normal"/>
    <w:link w:val="Titre1Car"/>
    <w:autoRedefine/>
    <w:uiPriority w:val="9"/>
    <w:qFormat/>
    <w:rsid w:val="009D63E8"/>
    <w:pPr>
      <w:keepNext/>
      <w:overflowPunct w:val="0"/>
      <w:autoSpaceDE w:val="0"/>
      <w:autoSpaceDN w:val="0"/>
      <w:adjustRightInd w:val="0"/>
      <w:spacing w:before="120" w:after="120" w:line="480" w:lineRule="auto"/>
      <w:ind w:left="2124"/>
      <w:outlineLvl w:val="0"/>
    </w:pPr>
    <w:rPr>
      <w:rFonts w:ascii="Arial Narrow" w:eastAsiaTheme="majorEastAsia" w:hAnsi="Arial Narrow" w:cstheme="majorBidi"/>
      <w:b/>
      <w:bCs/>
      <w:color w:val="76923C" w:themeColor="accent3" w:themeShade="BF"/>
      <w:kern w:val="32"/>
      <w:sz w:val="32"/>
      <w:szCs w:val="32"/>
    </w:rPr>
  </w:style>
  <w:style w:type="paragraph" w:styleId="Titre2">
    <w:name w:val="heading 2"/>
    <w:basedOn w:val="Normal"/>
    <w:next w:val="Normal"/>
    <w:link w:val="Titre2Car"/>
    <w:uiPriority w:val="9"/>
    <w:unhideWhenUsed/>
    <w:qFormat/>
    <w:rsid w:val="009D63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9D63E8"/>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aliases w:val="2 é sous titre titre niveau 4"/>
    <w:basedOn w:val="Normal"/>
    <w:next w:val="Normal"/>
    <w:link w:val="Titre4Car"/>
    <w:uiPriority w:val="9"/>
    <w:unhideWhenUsed/>
    <w:qFormat/>
    <w:rsid w:val="009D63E8"/>
    <w:pPr>
      <w:keepNext/>
      <w:keepLines/>
      <w:spacing w:before="100" w:beforeAutospacing="1" w:after="100" w:afterAutospacing="1"/>
      <w:outlineLvl w:val="3"/>
    </w:pPr>
    <w:rPr>
      <w:rFonts w:ascii="Arial Narrow" w:eastAsiaTheme="majorEastAsia" w:hAnsi="Arial Narrow" w:cstheme="majorBidi"/>
      <w:b/>
      <w:bCs/>
      <w:iCs/>
      <w:color w:val="76923C" w:themeColor="accent3" w:themeShade="BF"/>
      <w:u w:val="single"/>
    </w:rPr>
  </w:style>
  <w:style w:type="paragraph" w:styleId="Titre5">
    <w:name w:val="heading 5"/>
    <w:basedOn w:val="Titre4"/>
    <w:next w:val="Normal"/>
    <w:link w:val="Titre5Car"/>
    <w:uiPriority w:val="9"/>
    <w:qFormat/>
    <w:rsid w:val="003E2C39"/>
    <w:pPr>
      <w:numPr>
        <w:ilvl w:val="4"/>
        <w:numId w:val="4"/>
      </w:numPr>
      <w:outlineLvl w:val="4"/>
    </w:pPr>
    <w:rPr>
      <w:i/>
    </w:rPr>
  </w:style>
  <w:style w:type="paragraph" w:styleId="Titre6">
    <w:name w:val="heading 6"/>
    <w:basedOn w:val="Normal"/>
    <w:next w:val="Normal"/>
    <w:link w:val="Titre6Car"/>
    <w:uiPriority w:val="9"/>
    <w:qFormat/>
    <w:rsid w:val="003E2C39"/>
    <w:pPr>
      <w:keepNext/>
      <w:keepLines/>
      <w:outlineLvl w:val="5"/>
    </w:pPr>
    <w:rPr>
      <w:i/>
      <w:iCs/>
      <w:szCs w:val="24"/>
    </w:rPr>
  </w:style>
  <w:style w:type="paragraph" w:styleId="Titre7">
    <w:name w:val="heading 7"/>
    <w:basedOn w:val="Normal"/>
    <w:next w:val="Normal"/>
    <w:link w:val="Titre7Car"/>
    <w:uiPriority w:val="9"/>
    <w:qFormat/>
    <w:rsid w:val="003E2C39"/>
    <w:pPr>
      <w:keepNext/>
      <w:keepLines/>
      <w:outlineLvl w:val="6"/>
    </w:pPr>
    <w:rPr>
      <w:rFonts w:ascii="Cambria" w:hAnsi="Cambria"/>
      <w:i/>
      <w:iCs/>
      <w:color w:val="404040"/>
      <w:szCs w:val="24"/>
    </w:rPr>
  </w:style>
  <w:style w:type="paragraph" w:styleId="Titre8">
    <w:name w:val="heading 8"/>
    <w:basedOn w:val="Normal"/>
    <w:next w:val="Normal"/>
    <w:link w:val="Titre8Car"/>
    <w:uiPriority w:val="9"/>
    <w:qFormat/>
    <w:rsid w:val="003E2C39"/>
    <w:pPr>
      <w:keepNext/>
      <w:keepLines/>
      <w:outlineLvl w:val="7"/>
    </w:pPr>
    <w:rPr>
      <w:rFonts w:ascii="Cambria" w:hAnsi="Cambria"/>
      <w:color w:val="404040"/>
      <w:sz w:val="20"/>
    </w:rPr>
  </w:style>
  <w:style w:type="paragraph" w:styleId="Titre9">
    <w:name w:val="heading 9"/>
    <w:basedOn w:val="Normal"/>
    <w:next w:val="Normal"/>
    <w:link w:val="Titre9Car"/>
    <w:uiPriority w:val="9"/>
    <w:qFormat/>
    <w:rsid w:val="003E2C39"/>
    <w:pPr>
      <w:keepNext/>
      <w:keepLines/>
      <w:outlineLvl w:val="8"/>
    </w:pPr>
    <w:rPr>
      <w:rFonts w:ascii="Cambria" w:hAnsi="Cambria"/>
      <w:i/>
      <w:iCs/>
      <w:color w:val="40404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Rfrencebibliographique">
    <w:name w:val="Référence bibliographique"/>
    <w:basedOn w:val="Normal"/>
    <w:link w:val="RfrencebibliographiqueCar"/>
    <w:uiPriority w:val="2"/>
    <w:qFormat/>
    <w:rsid w:val="003E2C39"/>
    <w:rPr>
      <w:sz w:val="20"/>
    </w:rPr>
  </w:style>
  <w:style w:type="character" w:customStyle="1" w:styleId="RfrencebibliographiqueCar">
    <w:name w:val="Référence bibliographique Car"/>
    <w:link w:val="Rfrencebibliographique"/>
    <w:uiPriority w:val="2"/>
    <w:rsid w:val="003E2C39"/>
    <w:rPr>
      <w:rFonts w:ascii="Times New Roman" w:hAnsi="Times New Roman"/>
    </w:rPr>
  </w:style>
  <w:style w:type="character" w:customStyle="1" w:styleId="Titre1Car">
    <w:name w:val="Titre 1 Car"/>
    <w:aliases w:val="titre article Car"/>
    <w:basedOn w:val="Policepardfaut"/>
    <w:link w:val="Titre1"/>
    <w:uiPriority w:val="9"/>
    <w:rsid w:val="009D63E8"/>
    <w:rPr>
      <w:rFonts w:ascii="Arial Narrow" w:eastAsiaTheme="majorEastAsia" w:hAnsi="Arial Narrow" w:cstheme="majorBidi"/>
      <w:b/>
      <w:bCs/>
      <w:color w:val="76923C" w:themeColor="accent3" w:themeShade="BF"/>
      <w:kern w:val="32"/>
      <w:sz w:val="32"/>
      <w:szCs w:val="32"/>
    </w:rPr>
  </w:style>
  <w:style w:type="character" w:customStyle="1" w:styleId="Titre2Car">
    <w:name w:val="Titre 2 Car"/>
    <w:basedOn w:val="Policepardfaut"/>
    <w:link w:val="Titre2"/>
    <w:uiPriority w:val="9"/>
    <w:rsid w:val="009D63E8"/>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9D63E8"/>
    <w:rPr>
      <w:rFonts w:asciiTheme="majorHAnsi" w:eastAsiaTheme="majorEastAsia" w:hAnsiTheme="majorHAnsi" w:cstheme="majorBidi"/>
      <w:b/>
      <w:bCs/>
      <w:color w:val="4F81BD" w:themeColor="accent1"/>
      <w:sz w:val="22"/>
      <w:szCs w:val="22"/>
    </w:rPr>
  </w:style>
  <w:style w:type="character" w:customStyle="1" w:styleId="Titre4Car">
    <w:name w:val="Titre 4 Car"/>
    <w:aliases w:val="2 é sous titre titre niveau 4 Car"/>
    <w:basedOn w:val="Policepardfaut"/>
    <w:link w:val="Titre4"/>
    <w:uiPriority w:val="9"/>
    <w:rsid w:val="009D63E8"/>
    <w:rPr>
      <w:rFonts w:ascii="Arial Narrow" w:eastAsiaTheme="majorEastAsia" w:hAnsi="Arial Narrow" w:cstheme="majorBidi"/>
      <w:b/>
      <w:bCs/>
      <w:iCs/>
      <w:color w:val="76923C" w:themeColor="accent3" w:themeShade="BF"/>
      <w:sz w:val="22"/>
      <w:szCs w:val="22"/>
      <w:u w:val="single"/>
    </w:rPr>
  </w:style>
  <w:style w:type="paragraph" w:styleId="Paragraphedeliste">
    <w:name w:val="List Paragraph"/>
    <w:basedOn w:val="Normal"/>
    <w:uiPriority w:val="34"/>
    <w:qFormat/>
    <w:rsid w:val="003E2C39"/>
    <w:pPr>
      <w:ind w:left="720"/>
      <w:contextualSpacing/>
    </w:pPr>
  </w:style>
  <w:style w:type="character" w:customStyle="1" w:styleId="Titre5Car">
    <w:name w:val="Titre 5 Car"/>
    <w:link w:val="Titre5"/>
    <w:uiPriority w:val="9"/>
    <w:rsid w:val="003E2C39"/>
    <w:rPr>
      <w:rFonts w:ascii="Times New Roman" w:hAnsi="Times New Roman"/>
      <w:sz w:val="24"/>
    </w:rPr>
  </w:style>
  <w:style w:type="character" w:customStyle="1" w:styleId="Titre6Car">
    <w:name w:val="Titre 6 Car"/>
    <w:link w:val="Titre6"/>
    <w:uiPriority w:val="9"/>
    <w:rsid w:val="003E2C39"/>
    <w:rPr>
      <w:rFonts w:ascii="Times New Roman" w:hAnsi="Times New Roman"/>
      <w:i/>
      <w:iCs/>
      <w:sz w:val="24"/>
      <w:szCs w:val="24"/>
    </w:rPr>
  </w:style>
  <w:style w:type="character" w:customStyle="1" w:styleId="Titre7Car">
    <w:name w:val="Titre 7 Car"/>
    <w:link w:val="Titre7"/>
    <w:uiPriority w:val="9"/>
    <w:rsid w:val="003E2C39"/>
    <w:rPr>
      <w:rFonts w:ascii="Cambria" w:hAnsi="Cambria"/>
      <w:i/>
      <w:iCs/>
      <w:color w:val="404040"/>
      <w:sz w:val="24"/>
      <w:szCs w:val="24"/>
    </w:rPr>
  </w:style>
  <w:style w:type="character" w:customStyle="1" w:styleId="Titre8Car">
    <w:name w:val="Titre 8 Car"/>
    <w:link w:val="Titre8"/>
    <w:uiPriority w:val="9"/>
    <w:rsid w:val="003E2C39"/>
    <w:rPr>
      <w:rFonts w:ascii="Cambria" w:hAnsi="Cambria"/>
      <w:color w:val="404040"/>
    </w:rPr>
  </w:style>
  <w:style w:type="character" w:customStyle="1" w:styleId="Titre9Car">
    <w:name w:val="Titre 9 Car"/>
    <w:link w:val="Titre9"/>
    <w:uiPriority w:val="9"/>
    <w:rsid w:val="003E2C39"/>
    <w:rPr>
      <w:rFonts w:ascii="Cambria" w:hAnsi="Cambria"/>
      <w:i/>
      <w:iCs/>
      <w:color w:val="404040"/>
    </w:rPr>
  </w:style>
  <w:style w:type="paragraph" w:styleId="Lgende">
    <w:name w:val="caption"/>
    <w:basedOn w:val="Normal"/>
    <w:next w:val="Normal"/>
    <w:uiPriority w:val="35"/>
    <w:unhideWhenUsed/>
    <w:qFormat/>
    <w:rsid w:val="009D63E8"/>
    <w:rPr>
      <w:rFonts w:ascii="Arial Narrow" w:hAnsi="Arial Narrow"/>
      <w:bCs/>
      <w:i/>
      <w:szCs w:val="18"/>
    </w:rPr>
  </w:style>
  <w:style w:type="paragraph" w:styleId="Titre">
    <w:name w:val="Title"/>
    <w:basedOn w:val="Normal"/>
    <w:next w:val="Normal"/>
    <w:link w:val="TitreCar"/>
    <w:uiPriority w:val="10"/>
    <w:qFormat/>
    <w:rsid w:val="003E2C39"/>
    <w:pPr>
      <w:numPr>
        <w:numId w:val="5"/>
      </w:numPr>
      <w:jc w:val="right"/>
      <w:outlineLvl w:val="0"/>
    </w:pPr>
    <w:rPr>
      <w:b/>
      <w:i/>
      <w:color w:val="244061"/>
      <w:sz w:val="36"/>
      <w:szCs w:val="36"/>
    </w:rPr>
  </w:style>
  <w:style w:type="character" w:customStyle="1" w:styleId="TitreCar">
    <w:name w:val="Titre Car"/>
    <w:link w:val="Titre"/>
    <w:uiPriority w:val="10"/>
    <w:rsid w:val="003E2C39"/>
    <w:rPr>
      <w:rFonts w:ascii="Times New Roman" w:hAnsi="Times New Roman"/>
      <w:b/>
      <w:i/>
      <w:color w:val="244061"/>
      <w:sz w:val="36"/>
      <w:szCs w:val="36"/>
    </w:rPr>
  </w:style>
  <w:style w:type="paragraph" w:styleId="Sous-titre">
    <w:name w:val="Subtitle"/>
    <w:basedOn w:val="Normal"/>
    <w:next w:val="Normal"/>
    <w:link w:val="Sous-titreCar"/>
    <w:uiPriority w:val="11"/>
    <w:qFormat/>
    <w:rsid w:val="003E2C39"/>
    <w:pPr>
      <w:numPr>
        <w:ilvl w:val="1"/>
      </w:numPr>
    </w:pPr>
    <w:rPr>
      <w:rFonts w:ascii="Cambria" w:hAnsi="Cambria"/>
      <w:i/>
      <w:iCs/>
      <w:color w:val="4F81BD"/>
      <w:spacing w:val="15"/>
      <w:szCs w:val="24"/>
    </w:rPr>
  </w:style>
  <w:style w:type="character" w:customStyle="1" w:styleId="Sous-titreCar">
    <w:name w:val="Sous-titre Car"/>
    <w:link w:val="Sous-titre"/>
    <w:uiPriority w:val="11"/>
    <w:rsid w:val="003E2C39"/>
    <w:rPr>
      <w:rFonts w:ascii="Cambria" w:hAnsi="Cambria"/>
      <w:i/>
      <w:iCs/>
      <w:color w:val="4F81BD"/>
      <w:spacing w:val="15"/>
      <w:sz w:val="24"/>
      <w:szCs w:val="24"/>
    </w:rPr>
  </w:style>
  <w:style w:type="character" w:styleId="lev">
    <w:name w:val="Strong"/>
    <w:uiPriority w:val="22"/>
    <w:qFormat/>
    <w:rsid w:val="003E2C39"/>
    <w:rPr>
      <w:b/>
      <w:bCs/>
    </w:rPr>
  </w:style>
  <w:style w:type="paragraph" w:styleId="Sansinterligne">
    <w:name w:val="No Spacing"/>
    <w:uiPriority w:val="1"/>
    <w:qFormat/>
    <w:rsid w:val="003E2C39"/>
    <w:pPr>
      <w:jc w:val="both"/>
    </w:pPr>
    <w:rPr>
      <w:rFonts w:ascii="Times New Roman" w:hAnsi="Times New Roman"/>
      <w:sz w:val="24"/>
      <w:szCs w:val="22"/>
      <w:lang w:eastAsia="fr-FR"/>
    </w:rPr>
  </w:style>
  <w:style w:type="paragraph" w:styleId="Citation">
    <w:name w:val="Quote"/>
    <w:basedOn w:val="Normal"/>
    <w:next w:val="Normal"/>
    <w:link w:val="CitationCar"/>
    <w:uiPriority w:val="29"/>
    <w:qFormat/>
    <w:rsid w:val="003E2C39"/>
    <w:rPr>
      <w:i/>
      <w:iCs/>
      <w:color w:val="000000"/>
      <w:szCs w:val="24"/>
    </w:rPr>
  </w:style>
  <w:style w:type="character" w:customStyle="1" w:styleId="CitationCar">
    <w:name w:val="Citation Car"/>
    <w:link w:val="Citation"/>
    <w:uiPriority w:val="29"/>
    <w:rsid w:val="003E2C39"/>
    <w:rPr>
      <w:rFonts w:ascii="Times New Roman" w:hAnsi="Times New Roman"/>
      <w:i/>
      <w:iCs/>
      <w:color w:val="000000"/>
      <w:sz w:val="24"/>
      <w:szCs w:val="24"/>
    </w:rPr>
  </w:style>
  <w:style w:type="paragraph" w:styleId="Citationintense">
    <w:name w:val="Intense Quote"/>
    <w:basedOn w:val="Normal"/>
    <w:next w:val="Normal"/>
    <w:link w:val="CitationintenseCar"/>
    <w:uiPriority w:val="30"/>
    <w:qFormat/>
    <w:rsid w:val="003E2C39"/>
    <w:pPr>
      <w:pBdr>
        <w:bottom w:val="single" w:sz="4" w:space="4" w:color="4F81BD"/>
      </w:pBdr>
      <w:spacing w:after="280"/>
      <w:ind w:left="936" w:right="936"/>
    </w:pPr>
    <w:rPr>
      <w:b/>
      <w:bCs/>
      <w:i/>
      <w:iCs/>
      <w:color w:val="4F81BD"/>
      <w:szCs w:val="24"/>
    </w:rPr>
  </w:style>
  <w:style w:type="character" w:customStyle="1" w:styleId="CitationintenseCar">
    <w:name w:val="Citation intense Car"/>
    <w:link w:val="Citationintense"/>
    <w:uiPriority w:val="30"/>
    <w:rsid w:val="003E2C39"/>
    <w:rPr>
      <w:rFonts w:ascii="Times New Roman" w:hAnsi="Times New Roman"/>
      <w:b/>
      <w:bCs/>
      <w:i/>
      <w:iCs/>
      <w:color w:val="4F81BD"/>
      <w:sz w:val="24"/>
      <w:szCs w:val="24"/>
    </w:rPr>
  </w:style>
  <w:style w:type="paragraph" w:styleId="En-ttedetabledesmatires">
    <w:name w:val="TOC Heading"/>
    <w:basedOn w:val="Titre1"/>
    <w:next w:val="Normal"/>
    <w:uiPriority w:val="39"/>
    <w:qFormat/>
    <w:rsid w:val="003E2C39"/>
    <w:pPr>
      <w:spacing w:line="276" w:lineRule="auto"/>
      <w:outlineLvl w:val="9"/>
    </w:pPr>
    <w:rPr>
      <w:rFonts w:ascii="Cambria" w:hAnsi="Cambria"/>
      <w:color w:val="365F91"/>
      <w:sz w:val="28"/>
    </w:rPr>
  </w:style>
  <w:style w:type="paragraph" w:customStyle="1" w:styleId="nomsauteurs">
    <w:name w:val="noms auteurs"/>
    <w:basedOn w:val="Normal"/>
    <w:qFormat/>
    <w:rsid w:val="009D63E8"/>
    <w:pPr>
      <w:spacing w:before="100" w:beforeAutospacing="1" w:after="100" w:afterAutospacing="1" w:line="360" w:lineRule="auto"/>
      <w:jc w:val="center"/>
    </w:pPr>
    <w:rPr>
      <w:rFonts w:ascii="Arial Narrow" w:hAnsi="Arial Narrow"/>
      <w:b/>
      <w:color w:val="76923C" w:themeColor="accent3" w:themeShade="BF"/>
      <w:sz w:val="28"/>
    </w:rPr>
  </w:style>
  <w:style w:type="paragraph" w:customStyle="1" w:styleId="adressenotebasdepage">
    <w:name w:val="adresse note bas de page"/>
    <w:basedOn w:val="Notedebasdepage"/>
    <w:qFormat/>
    <w:rsid w:val="009D63E8"/>
    <w:rPr>
      <w:rFonts w:ascii="Arial Narrow" w:hAnsi="Arial Narrow"/>
      <w:i/>
      <w:sz w:val="16"/>
    </w:rPr>
  </w:style>
  <w:style w:type="paragraph" w:styleId="Notedebasdepage">
    <w:name w:val="footnote text"/>
    <w:basedOn w:val="Normal"/>
    <w:link w:val="NotedebasdepageCar"/>
    <w:uiPriority w:val="99"/>
    <w:semiHidden/>
    <w:unhideWhenUsed/>
    <w:rsid w:val="009D63E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D63E8"/>
    <w:rPr>
      <w:rFonts w:asciiTheme="minorHAnsi" w:eastAsiaTheme="minorHAnsi" w:hAnsiTheme="minorHAnsi" w:cstheme="minorBidi"/>
    </w:rPr>
  </w:style>
  <w:style w:type="paragraph" w:customStyle="1" w:styleId="texte">
    <w:name w:val="texte"/>
    <w:basedOn w:val="Normal"/>
    <w:next w:val="nomsauteurs"/>
    <w:qFormat/>
    <w:rsid w:val="009D63E8"/>
    <w:pPr>
      <w:spacing w:before="100" w:beforeAutospacing="1" w:after="100" w:afterAutospacing="1"/>
      <w:jc w:val="both"/>
    </w:pPr>
    <w:rPr>
      <w:rFonts w:ascii="Arial Narrow" w:hAnsi="Arial Narrow"/>
    </w:rPr>
  </w:style>
  <w:style w:type="paragraph" w:customStyle="1" w:styleId="titreniveau2">
    <w:name w:val="titre niveau 2"/>
    <w:basedOn w:val="Titre3"/>
    <w:qFormat/>
    <w:rsid w:val="009D63E8"/>
    <w:pPr>
      <w:spacing w:before="100" w:beforeAutospacing="1" w:after="100" w:afterAutospacing="1"/>
    </w:pPr>
    <w:rPr>
      <w:rFonts w:ascii="Arial Narrow" w:hAnsi="Arial Narrow"/>
      <w:color w:val="76923C" w:themeColor="accent3" w:themeShade="BF"/>
      <w:sz w:val="28"/>
    </w:rPr>
  </w:style>
  <w:style w:type="paragraph" w:customStyle="1" w:styleId="titreniveau3">
    <w:name w:val="titre niveau 3"/>
    <w:basedOn w:val="texte"/>
    <w:qFormat/>
    <w:rsid w:val="009D63E8"/>
    <w:rPr>
      <w:b/>
      <w:color w:val="76923C" w:themeColor="accent3" w:themeShade="BF"/>
      <w:sz w:val="24"/>
    </w:rPr>
  </w:style>
  <w:style w:type="paragraph" w:customStyle="1" w:styleId="titredelarticle">
    <w:name w:val="titre de l'article"/>
    <w:basedOn w:val="Normal"/>
    <w:next w:val="Normal"/>
    <w:qFormat/>
    <w:rsid w:val="009D63E8"/>
    <w:pPr>
      <w:spacing w:before="120" w:after="120"/>
      <w:jc w:val="center"/>
    </w:pPr>
    <w:rPr>
      <w:rFonts w:ascii="Arial Narrow" w:hAnsi="Arial Narrow"/>
      <w:b/>
      <w:color w:val="76923C" w:themeColor="accent3" w:themeShade="BF"/>
      <w:sz w:val="32"/>
    </w:rPr>
  </w:style>
  <w:style w:type="paragraph" w:customStyle="1" w:styleId="titrersummotscls">
    <w:name w:val="titre résumé mots clés"/>
    <w:basedOn w:val="Normal"/>
    <w:next w:val="textersumetmotscls"/>
    <w:link w:val="titrersummotsclsCar"/>
    <w:qFormat/>
    <w:rsid w:val="009D63E8"/>
    <w:pPr>
      <w:spacing w:before="100" w:beforeAutospacing="1" w:after="100" w:afterAutospacing="1"/>
    </w:pPr>
    <w:rPr>
      <w:rFonts w:ascii="Arial Narrow" w:hAnsi="Arial Narrow"/>
      <w:b/>
      <w:color w:val="76923C" w:themeColor="accent3" w:themeShade="BF"/>
    </w:rPr>
  </w:style>
  <w:style w:type="paragraph" w:customStyle="1" w:styleId="textersumetmotscls">
    <w:name w:val="texte résumé et mots clés"/>
    <w:basedOn w:val="titrersummotscls"/>
    <w:link w:val="textersumetmotsclsCar"/>
    <w:qFormat/>
    <w:rsid w:val="009D63E8"/>
    <w:rPr>
      <w:b w:val="0"/>
    </w:rPr>
  </w:style>
  <w:style w:type="character" w:customStyle="1" w:styleId="titrersummotsclsCar">
    <w:name w:val="titre résumé mots clés Car"/>
    <w:basedOn w:val="Policepardfaut"/>
    <w:link w:val="titrersummotscls"/>
    <w:rsid w:val="009D63E8"/>
    <w:rPr>
      <w:rFonts w:ascii="Arial Narrow" w:eastAsiaTheme="minorHAnsi" w:hAnsi="Arial Narrow" w:cstheme="minorBidi"/>
      <w:b/>
      <w:color w:val="76923C" w:themeColor="accent3" w:themeShade="BF"/>
      <w:sz w:val="22"/>
      <w:szCs w:val="22"/>
    </w:rPr>
  </w:style>
  <w:style w:type="character" w:customStyle="1" w:styleId="textersumetmotsclsCar">
    <w:name w:val="texte résumé et mots clés Car"/>
    <w:basedOn w:val="titrersummotsclsCar"/>
    <w:link w:val="textersumetmotscls"/>
    <w:rsid w:val="009D63E8"/>
    <w:rPr>
      <w:rFonts w:ascii="Arial Narrow" w:eastAsiaTheme="minorHAnsi" w:hAnsi="Arial Narrow" w:cstheme="minorBidi"/>
      <w:b w:val="0"/>
      <w:color w:val="76923C" w:themeColor="accent3" w:themeShade="BF"/>
      <w:sz w:val="22"/>
      <w:szCs w:val="22"/>
    </w:rPr>
  </w:style>
  <w:style w:type="character" w:styleId="Appelnotedebasdep">
    <w:name w:val="footnote reference"/>
    <w:basedOn w:val="Policepardfaut"/>
    <w:uiPriority w:val="99"/>
    <w:unhideWhenUsed/>
    <w:rsid w:val="009D63E8"/>
    <w:rPr>
      <w:vertAlign w:val="superscript"/>
    </w:rPr>
  </w:style>
  <w:style w:type="paragraph" w:styleId="Notedefin">
    <w:name w:val="endnote text"/>
    <w:basedOn w:val="Normal"/>
    <w:link w:val="NotedefinCar"/>
    <w:uiPriority w:val="99"/>
    <w:semiHidden/>
    <w:unhideWhenUsed/>
    <w:rsid w:val="009D63E8"/>
    <w:pPr>
      <w:spacing w:after="0" w:line="240" w:lineRule="auto"/>
    </w:pPr>
    <w:rPr>
      <w:sz w:val="20"/>
      <w:szCs w:val="20"/>
    </w:rPr>
  </w:style>
  <w:style w:type="character" w:customStyle="1" w:styleId="NotedefinCar">
    <w:name w:val="Note de fin Car"/>
    <w:basedOn w:val="Policepardfaut"/>
    <w:link w:val="Notedefin"/>
    <w:uiPriority w:val="99"/>
    <w:semiHidden/>
    <w:rsid w:val="009D63E8"/>
    <w:rPr>
      <w:rFonts w:asciiTheme="minorHAnsi" w:eastAsiaTheme="minorHAnsi" w:hAnsiTheme="minorHAnsi" w:cstheme="minorBidi"/>
    </w:rPr>
  </w:style>
  <w:style w:type="character" w:styleId="Appeldenotedefin">
    <w:name w:val="endnote reference"/>
    <w:basedOn w:val="Policepardfaut"/>
    <w:uiPriority w:val="99"/>
    <w:semiHidden/>
    <w:unhideWhenUsed/>
    <w:rsid w:val="009D63E8"/>
    <w:rPr>
      <w:vertAlign w:val="superscript"/>
    </w:rPr>
  </w:style>
  <w:style w:type="paragraph" w:styleId="Explorateurdedocuments">
    <w:name w:val="Document Map"/>
    <w:basedOn w:val="Normal"/>
    <w:link w:val="ExplorateurdedocumentsCar"/>
    <w:uiPriority w:val="99"/>
    <w:semiHidden/>
    <w:unhideWhenUsed/>
    <w:rsid w:val="009D63E8"/>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9D63E8"/>
    <w:rPr>
      <w:rFonts w:ascii="Tahoma" w:eastAsiaTheme="minorHAnsi" w:hAnsi="Tahoma" w:cs="Tahoma"/>
      <w:sz w:val="16"/>
      <w:szCs w:val="16"/>
    </w:rPr>
  </w:style>
  <w:style w:type="character" w:styleId="Lienhypertexte">
    <w:name w:val="Hyperlink"/>
    <w:basedOn w:val="Policepardfaut"/>
    <w:uiPriority w:val="99"/>
    <w:unhideWhenUsed/>
    <w:rsid w:val="009D63E8"/>
    <w:rPr>
      <w:color w:val="0000FF" w:themeColor="hyperlink"/>
      <w:u w:val="single"/>
    </w:rPr>
  </w:style>
  <w:style w:type="paragraph" w:styleId="Textedebulles">
    <w:name w:val="Balloon Text"/>
    <w:basedOn w:val="Normal"/>
    <w:link w:val="TextedebullesCar"/>
    <w:uiPriority w:val="99"/>
    <w:semiHidden/>
    <w:unhideWhenUsed/>
    <w:rsid w:val="009D63E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63E8"/>
    <w:rPr>
      <w:rFonts w:ascii="Tahoma" w:eastAsiaTheme="minorHAnsi" w:hAnsi="Tahoma" w:cs="Tahoma"/>
      <w:sz w:val="16"/>
      <w:szCs w:val="16"/>
    </w:rPr>
  </w:style>
  <w:style w:type="character" w:styleId="Marquedecommentaire">
    <w:name w:val="annotation reference"/>
    <w:basedOn w:val="Policepardfaut"/>
    <w:uiPriority w:val="99"/>
    <w:semiHidden/>
    <w:unhideWhenUsed/>
    <w:rsid w:val="009D63E8"/>
    <w:rPr>
      <w:sz w:val="16"/>
      <w:szCs w:val="16"/>
    </w:rPr>
  </w:style>
  <w:style w:type="paragraph" w:styleId="Commentaire">
    <w:name w:val="annotation text"/>
    <w:basedOn w:val="Normal"/>
    <w:link w:val="CommentaireCar"/>
    <w:uiPriority w:val="99"/>
    <w:semiHidden/>
    <w:unhideWhenUsed/>
    <w:rsid w:val="009D63E8"/>
    <w:pPr>
      <w:spacing w:line="240" w:lineRule="auto"/>
    </w:pPr>
    <w:rPr>
      <w:sz w:val="20"/>
      <w:szCs w:val="20"/>
    </w:rPr>
  </w:style>
  <w:style w:type="character" w:customStyle="1" w:styleId="CommentaireCar">
    <w:name w:val="Commentaire Car"/>
    <w:basedOn w:val="Policepardfaut"/>
    <w:link w:val="Commentaire"/>
    <w:uiPriority w:val="99"/>
    <w:semiHidden/>
    <w:rsid w:val="009D63E8"/>
    <w:rPr>
      <w:rFonts w:asciiTheme="minorHAnsi" w:eastAsiaTheme="minorHAnsi" w:hAnsiTheme="minorHAnsi" w:cstheme="minorBidi"/>
    </w:rPr>
  </w:style>
  <w:style w:type="paragraph" w:styleId="Objetducommentaire">
    <w:name w:val="annotation subject"/>
    <w:basedOn w:val="Commentaire"/>
    <w:next w:val="Commentaire"/>
    <w:link w:val="ObjetducommentaireCar"/>
    <w:uiPriority w:val="99"/>
    <w:semiHidden/>
    <w:unhideWhenUsed/>
    <w:rsid w:val="009D63E8"/>
    <w:rPr>
      <w:b/>
      <w:bCs/>
    </w:rPr>
  </w:style>
  <w:style w:type="character" w:customStyle="1" w:styleId="ObjetducommentaireCar">
    <w:name w:val="Objet du commentaire Car"/>
    <w:basedOn w:val="CommentaireCar"/>
    <w:link w:val="Objetducommentaire"/>
    <w:uiPriority w:val="99"/>
    <w:semiHidden/>
    <w:rsid w:val="009D63E8"/>
    <w:rPr>
      <w:rFonts w:asciiTheme="minorHAnsi" w:eastAsiaTheme="minorHAnsi" w:hAnsiTheme="minorHAnsi" w:cstheme="minorBidi"/>
      <w:b/>
      <w:bCs/>
    </w:rPr>
  </w:style>
  <w:style w:type="character" w:customStyle="1" w:styleId="citebib">
    <w:name w:val="cite_bib"/>
    <w:basedOn w:val="Policepardfaut"/>
    <w:rsid w:val="009D63E8"/>
    <w:rPr>
      <w:bdr w:val="none" w:sz="0" w:space="0" w:color="auto"/>
      <w:shd w:val="clear" w:color="auto" w:fill="auto"/>
    </w:rPr>
  </w:style>
  <w:style w:type="paragraph" w:styleId="En-tte">
    <w:name w:val="header"/>
    <w:basedOn w:val="Normal"/>
    <w:link w:val="En-tteCar"/>
    <w:uiPriority w:val="99"/>
    <w:unhideWhenUsed/>
    <w:rsid w:val="00007AB8"/>
    <w:pPr>
      <w:tabs>
        <w:tab w:val="center" w:pos="4536"/>
        <w:tab w:val="right" w:pos="9072"/>
      </w:tabs>
      <w:spacing w:after="0" w:line="240" w:lineRule="auto"/>
    </w:pPr>
  </w:style>
  <w:style w:type="character" w:customStyle="1" w:styleId="En-tteCar">
    <w:name w:val="En-tête Car"/>
    <w:basedOn w:val="Policepardfaut"/>
    <w:link w:val="En-tte"/>
    <w:uiPriority w:val="99"/>
    <w:rsid w:val="00007AB8"/>
    <w:rPr>
      <w:rFonts w:asciiTheme="minorHAnsi" w:eastAsiaTheme="minorHAnsi" w:hAnsiTheme="minorHAnsi" w:cstheme="minorBidi"/>
      <w:sz w:val="22"/>
      <w:szCs w:val="22"/>
    </w:rPr>
  </w:style>
  <w:style w:type="paragraph" w:styleId="Pieddepage">
    <w:name w:val="footer"/>
    <w:basedOn w:val="Normal"/>
    <w:link w:val="PieddepageCar"/>
    <w:uiPriority w:val="99"/>
    <w:unhideWhenUsed/>
    <w:rsid w:val="00007A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7AB8"/>
    <w:rPr>
      <w:rFonts w:asciiTheme="minorHAnsi" w:eastAsiaTheme="minorHAnsi" w:hAnsiTheme="minorHAnsi" w:cstheme="minorBidi"/>
      <w:sz w:val="22"/>
      <w:szCs w:val="22"/>
    </w:rPr>
  </w:style>
  <w:style w:type="paragraph" w:styleId="Rvision">
    <w:name w:val="Revision"/>
    <w:hidden/>
    <w:uiPriority w:val="99"/>
    <w:semiHidden/>
    <w:rsid w:val="00E74287"/>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mailto:Guillaume.Giot@orleans.inra.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B6D8C-63F1-4973-AED9-AF53A5FE3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2484</Words>
  <Characters>13664</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UR-SOLS - INRA d'Orléans</Company>
  <LinksUpToDate>false</LinksUpToDate>
  <CharactersWithSpaces>16116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Rabot</dc:creator>
  <cp:lastModifiedBy>Guillaume Giot</cp:lastModifiedBy>
  <cp:revision>2</cp:revision>
  <cp:lastPrinted>2015-06-30T12:57:00Z</cp:lastPrinted>
  <dcterms:created xsi:type="dcterms:W3CDTF">2015-12-10T08:52:00Z</dcterms:created>
  <dcterms:modified xsi:type="dcterms:W3CDTF">2015-12-10T08:52:00Z</dcterms:modified>
</cp:coreProperties>
</file>