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C3" w:rsidRPr="00A46630" w:rsidRDefault="006446C3" w:rsidP="006446C3">
      <w:pPr>
        <w:spacing w:after="0" w:line="240" w:lineRule="auto"/>
        <w:rPr>
          <w:rFonts w:eastAsia="Times New Roman"/>
          <w:b/>
          <w:color w:val="000000" w:themeColor="text1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4"/>
        <w:gridCol w:w="2268"/>
      </w:tblGrid>
      <w:tr w:rsidR="006446C3" w:rsidRPr="00A46630" w:rsidTr="001D6DE7">
        <w:trPr>
          <w:trHeight w:val="715"/>
          <w:jc w:val="center"/>
        </w:trPr>
        <w:tc>
          <w:tcPr>
            <w:tcW w:w="4254" w:type="dxa"/>
          </w:tcPr>
          <w:p w:rsidR="004F2297" w:rsidRPr="00A6528D" w:rsidRDefault="004F2297" w:rsidP="001D6DE7">
            <w:pPr>
              <w:rPr>
                <w:b/>
                <w:sz w:val="24"/>
                <w:szCs w:val="24"/>
              </w:rPr>
            </w:pPr>
            <w:r w:rsidRPr="00A6528D">
              <w:rPr>
                <w:b/>
                <w:sz w:val="24"/>
                <w:szCs w:val="24"/>
              </w:rPr>
              <w:t xml:space="preserve">Mode of action and engineering of a rice </w:t>
            </w:r>
            <w:r w:rsidR="004B48F8" w:rsidRPr="00A6528D">
              <w:rPr>
                <w:b/>
                <w:sz w:val="24"/>
                <w:szCs w:val="24"/>
              </w:rPr>
              <w:t xml:space="preserve">NLR </w:t>
            </w:r>
            <w:r w:rsidRPr="00A6528D">
              <w:rPr>
                <w:b/>
                <w:sz w:val="24"/>
                <w:szCs w:val="24"/>
              </w:rPr>
              <w:t xml:space="preserve">immune receptor for </w:t>
            </w:r>
            <w:r w:rsidR="00A84F76" w:rsidRPr="00A6528D">
              <w:rPr>
                <w:b/>
                <w:sz w:val="24"/>
                <w:szCs w:val="24"/>
              </w:rPr>
              <w:t>broader</w:t>
            </w:r>
            <w:r w:rsidRPr="00A6528D">
              <w:rPr>
                <w:b/>
                <w:sz w:val="24"/>
                <w:szCs w:val="24"/>
              </w:rPr>
              <w:t xml:space="preserve"> recognition specificity of </w:t>
            </w:r>
            <w:r w:rsidRPr="00A6528D">
              <w:rPr>
                <w:b/>
                <w:i/>
                <w:iCs/>
                <w:sz w:val="24"/>
                <w:szCs w:val="24"/>
              </w:rPr>
              <w:t>Magnaporthe oryzae</w:t>
            </w:r>
            <w:r w:rsidRPr="00A6528D">
              <w:rPr>
                <w:b/>
                <w:sz w:val="24"/>
                <w:szCs w:val="24"/>
              </w:rPr>
              <w:t xml:space="preserve"> effectors. </w:t>
            </w:r>
          </w:p>
          <w:p w:rsidR="004F2297" w:rsidRPr="00A46630" w:rsidRDefault="004F2297" w:rsidP="001D6DE7">
            <w:pPr>
              <w:rPr>
                <w:rFonts w:eastAsiaTheme="majorEastAsia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6446C3" w:rsidRPr="00A6528D" w:rsidRDefault="006446C3" w:rsidP="001D6DE7">
            <w:pPr>
              <w:jc w:val="right"/>
              <w:rPr>
                <w:rFonts w:eastAsiaTheme="majorEastAsia"/>
                <w:bCs/>
                <w:i/>
                <w:color w:val="000000" w:themeColor="text1"/>
                <w:sz w:val="24"/>
                <w:szCs w:val="24"/>
              </w:rPr>
            </w:pPr>
            <w:r w:rsidRPr="00A6528D">
              <w:rPr>
                <w:i/>
                <w:color w:val="000000" w:themeColor="text1"/>
                <w:sz w:val="24"/>
                <w:szCs w:val="24"/>
              </w:rPr>
              <w:t>Plenary lecture</w:t>
            </w:r>
          </w:p>
        </w:tc>
      </w:tr>
      <w:tr w:rsidR="006446C3" w:rsidRPr="00A46630" w:rsidTr="001D6DE7">
        <w:trPr>
          <w:jc w:val="center"/>
        </w:trPr>
        <w:tc>
          <w:tcPr>
            <w:tcW w:w="4254" w:type="dxa"/>
          </w:tcPr>
          <w:p w:rsidR="006446C3" w:rsidRPr="00A46630" w:rsidRDefault="002B0CB6" w:rsidP="001D6DE7">
            <w:pPr>
              <w:rPr>
                <w:rFonts w:eastAsiaTheme="majorEastAsia"/>
                <w:b/>
                <w:bCs/>
                <w:color w:val="000000" w:themeColor="text1"/>
              </w:rPr>
            </w:pPr>
            <w:r w:rsidRPr="00A46630">
              <w:rPr>
                <w:b/>
                <w:color w:val="000000" w:themeColor="text1"/>
                <w:u w:val="single"/>
              </w:rPr>
              <w:t>STELLA CESARI</w:t>
            </w:r>
          </w:p>
        </w:tc>
        <w:tc>
          <w:tcPr>
            <w:tcW w:w="2268" w:type="dxa"/>
          </w:tcPr>
          <w:p w:rsidR="006446C3" w:rsidRPr="00A46630" w:rsidRDefault="006446C3" w:rsidP="001D6DE7">
            <w:pPr>
              <w:jc w:val="right"/>
              <w:rPr>
                <w:rFonts w:eastAsiaTheme="majorEastAsia"/>
                <w:b/>
                <w:bCs/>
                <w:color w:val="000000" w:themeColor="text1"/>
              </w:rPr>
            </w:pPr>
            <w:r w:rsidRPr="00A46630">
              <w:rPr>
                <w:b/>
                <w:color w:val="000000" w:themeColor="text1"/>
                <w:shd w:val="clear" w:color="auto" w:fill="FFFFFF"/>
              </w:rPr>
              <w:t>1</w:t>
            </w:r>
            <w:r w:rsidR="002B0CB6" w:rsidRPr="00A46630">
              <w:rPr>
                <w:b/>
                <w:color w:val="000000" w:themeColor="text1"/>
                <w:shd w:val="clear" w:color="auto" w:fill="FFFFFF"/>
              </w:rPr>
              <w:t>4</w:t>
            </w:r>
            <w:r w:rsidRPr="00A46630">
              <w:rPr>
                <w:b/>
                <w:color w:val="000000" w:themeColor="text1"/>
                <w:shd w:val="clear" w:color="auto" w:fill="FFFFFF"/>
              </w:rPr>
              <w:t>:</w:t>
            </w:r>
            <w:r w:rsidR="002B0CB6" w:rsidRPr="00A46630">
              <w:rPr>
                <w:b/>
                <w:color w:val="000000" w:themeColor="text1"/>
                <w:shd w:val="clear" w:color="auto" w:fill="FFFFFF"/>
              </w:rPr>
              <w:t>00</w:t>
            </w:r>
            <w:r w:rsidRPr="00A46630">
              <w:rPr>
                <w:b/>
                <w:color w:val="000000" w:themeColor="text1"/>
                <w:shd w:val="clear" w:color="auto" w:fill="FFFFFF"/>
              </w:rPr>
              <w:t>–1</w:t>
            </w:r>
            <w:r w:rsidR="002B0CB6" w:rsidRPr="00A46630">
              <w:rPr>
                <w:b/>
                <w:color w:val="000000" w:themeColor="text1"/>
                <w:shd w:val="clear" w:color="auto" w:fill="FFFFFF"/>
              </w:rPr>
              <w:t>4</w:t>
            </w:r>
            <w:r w:rsidRPr="00A46630">
              <w:rPr>
                <w:b/>
                <w:color w:val="000000" w:themeColor="text1"/>
                <w:shd w:val="clear" w:color="auto" w:fill="FFFFFF"/>
              </w:rPr>
              <w:t>:</w:t>
            </w:r>
            <w:r w:rsidR="002B0CB6" w:rsidRPr="00A46630">
              <w:rPr>
                <w:b/>
                <w:color w:val="000000" w:themeColor="text1"/>
                <w:shd w:val="clear" w:color="auto" w:fill="FFFFFF"/>
              </w:rPr>
              <w:t>5</w:t>
            </w:r>
            <w:r w:rsidRPr="00A46630">
              <w:rPr>
                <w:b/>
                <w:color w:val="000000" w:themeColor="text1"/>
                <w:shd w:val="clear" w:color="auto" w:fill="FFFFFF"/>
              </w:rPr>
              <w:t>0</w:t>
            </w:r>
          </w:p>
        </w:tc>
      </w:tr>
      <w:tr w:rsidR="006446C3" w:rsidRPr="00A46630" w:rsidTr="001D6DE7">
        <w:trPr>
          <w:jc w:val="center"/>
        </w:trPr>
        <w:tc>
          <w:tcPr>
            <w:tcW w:w="4254" w:type="dxa"/>
          </w:tcPr>
          <w:p w:rsidR="006446C3" w:rsidRPr="00A46630" w:rsidRDefault="006446C3" w:rsidP="001D6DE7">
            <w:pPr>
              <w:rPr>
                <w:rFonts w:eastAsiaTheme="majorEastAsia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6446C3" w:rsidRPr="00A46630" w:rsidRDefault="006446C3" w:rsidP="001D6DE7">
            <w:pPr>
              <w:rPr>
                <w:rFonts w:eastAsiaTheme="majorEastAsia"/>
                <w:b/>
                <w:bCs/>
                <w:color w:val="000000" w:themeColor="text1"/>
              </w:rPr>
            </w:pPr>
          </w:p>
        </w:tc>
      </w:tr>
      <w:tr w:rsidR="006446C3" w:rsidRPr="00A6528D" w:rsidTr="001D6DE7">
        <w:trPr>
          <w:jc w:val="center"/>
        </w:trPr>
        <w:tc>
          <w:tcPr>
            <w:tcW w:w="6522" w:type="dxa"/>
            <w:gridSpan w:val="2"/>
          </w:tcPr>
          <w:p w:rsidR="006446C3" w:rsidRPr="00A46630" w:rsidRDefault="002B0CB6" w:rsidP="001D6DE7">
            <w:pPr>
              <w:jc w:val="both"/>
              <w:rPr>
                <w:i/>
                <w:color w:val="000000" w:themeColor="text1"/>
                <w:lang w:val="fr-FR"/>
              </w:rPr>
            </w:pPr>
            <w:r w:rsidRPr="00A46630">
              <w:rPr>
                <w:i/>
                <w:color w:val="000000" w:themeColor="text1"/>
                <w:lang w:val="fr-FR"/>
              </w:rPr>
              <w:t xml:space="preserve">INRA, UMR BGP, Campus International de </w:t>
            </w:r>
            <w:proofErr w:type="spellStart"/>
            <w:r w:rsidRPr="00A46630">
              <w:rPr>
                <w:i/>
                <w:color w:val="000000" w:themeColor="text1"/>
                <w:lang w:val="fr-FR"/>
              </w:rPr>
              <w:t>Baillarguet</w:t>
            </w:r>
            <w:proofErr w:type="spellEnd"/>
            <w:r w:rsidRPr="00A46630">
              <w:rPr>
                <w:i/>
                <w:color w:val="000000" w:themeColor="text1"/>
                <w:lang w:val="fr-FR"/>
              </w:rPr>
              <w:t>, TA A-54/K, 34398, Montpellier, France</w:t>
            </w:r>
          </w:p>
          <w:p w:rsidR="002B0CB6" w:rsidRPr="00A46630" w:rsidRDefault="002B0CB6" w:rsidP="001D6DE7">
            <w:pPr>
              <w:jc w:val="both"/>
              <w:rPr>
                <w:i/>
                <w:color w:val="000000" w:themeColor="text1"/>
                <w:lang w:val="fr-FR"/>
              </w:rPr>
            </w:pPr>
          </w:p>
        </w:tc>
        <w:bookmarkStart w:id="0" w:name="_GoBack"/>
        <w:bookmarkEnd w:id="0"/>
      </w:tr>
      <w:tr w:rsidR="006446C3" w:rsidRPr="00A46630" w:rsidTr="001D6DE7">
        <w:trPr>
          <w:trHeight w:val="50"/>
          <w:jc w:val="center"/>
        </w:trPr>
        <w:tc>
          <w:tcPr>
            <w:tcW w:w="6522" w:type="dxa"/>
            <w:gridSpan w:val="2"/>
          </w:tcPr>
          <w:p w:rsidR="002B0CB6" w:rsidRPr="004B48F8" w:rsidRDefault="00147508" w:rsidP="002D2944">
            <w:pPr>
              <w:jc w:val="both"/>
              <w:rPr>
                <w:color w:val="000000" w:themeColor="text1"/>
                <w:shd w:val="clear" w:color="auto" w:fill="FFFEFE"/>
              </w:rPr>
            </w:pPr>
            <w:r w:rsidRPr="00A46630">
              <w:t xml:space="preserve">Plant nucleotide-binding domain and leucine-rich repeat containing proteins (NLRs) are intracellular immune receptors that specifically recognize pathogen effectors and induce immune responses. Based on our work on the detection of the </w:t>
            </w:r>
            <w:r w:rsidRPr="00A46630">
              <w:rPr>
                <w:i/>
              </w:rPr>
              <w:t>Magnaporthe oryzae</w:t>
            </w:r>
            <w:r w:rsidRPr="00A46630">
              <w:t xml:space="preserve"> effectors AVR-Pia and AVR1-CO39 by the rice NLR RGA5, we developed the hypothesis that some NLRs recognize effectors through non-canonical integrated domains (IDs) that act as </w:t>
            </w:r>
            <w:r w:rsidR="00DB2634">
              <w:t>ef</w:t>
            </w:r>
            <w:r w:rsidRPr="00A46630">
              <w:t>fector target</w:t>
            </w:r>
            <w:r w:rsidR="00DB2634">
              <w:t xml:space="preserve"> decoy</w:t>
            </w:r>
            <w:r w:rsidRPr="00A46630">
              <w:t xml:space="preserve">s. </w:t>
            </w:r>
            <w:r w:rsidR="00265622">
              <w:t>W</w:t>
            </w:r>
            <w:r w:rsidRPr="00A46630">
              <w:t>e unravelled the molecular details of AVR-Pia and AVR1-CO39 binding to the integrated heavy metal-associated (HMA) domai</w:t>
            </w:r>
            <w:r w:rsidR="002D2944">
              <w:t>n</w:t>
            </w:r>
            <w:r w:rsidRPr="00A46630">
              <w:t xml:space="preserve"> of RGA5</w:t>
            </w:r>
            <w:r w:rsidR="00265622">
              <w:t xml:space="preserve"> t</w:t>
            </w:r>
            <w:r w:rsidR="00265622" w:rsidRPr="00A46630">
              <w:t>hrough detailed structure-function analyses</w:t>
            </w:r>
            <w:r w:rsidRPr="00A46630">
              <w:t xml:space="preserve">. Our results revealed that </w:t>
            </w:r>
            <w:r w:rsidR="00265622">
              <w:t>direct</w:t>
            </w:r>
            <w:r w:rsidR="002D2944">
              <w:t xml:space="preserve"> effector/HMA domain interactions </w:t>
            </w:r>
            <w:r w:rsidRPr="00A46630">
              <w:t xml:space="preserve">are required for </w:t>
            </w:r>
            <w:r w:rsidR="002D2944">
              <w:t xml:space="preserve">the specific recognition of both </w:t>
            </w:r>
            <w:r w:rsidRPr="00A46630">
              <w:t>effector</w:t>
            </w:r>
            <w:r w:rsidR="002D2944">
              <w:t>s by RGA5</w:t>
            </w:r>
            <w:r w:rsidRPr="00A46630">
              <w:t>. However,</w:t>
            </w:r>
            <w:r w:rsidR="002D2944">
              <w:t xml:space="preserve"> </w:t>
            </w:r>
            <w:r w:rsidR="00404EE4">
              <w:rPr>
                <w:lang w:val="en-US"/>
              </w:rPr>
              <w:t>the binding affinity between the</w:t>
            </w:r>
            <w:r w:rsidR="002D2944">
              <w:rPr>
                <w:lang w:val="en-US"/>
              </w:rPr>
              <w:t>se</w:t>
            </w:r>
            <w:r w:rsidR="00404EE4">
              <w:rPr>
                <w:lang w:val="en-US"/>
              </w:rPr>
              <w:t xml:space="preserve"> effectors and the HMA domain is moderate but may be reinforced by additional associations of effectors on other sites in RGA5.</w:t>
            </w:r>
            <w:r w:rsidR="00404EE4" w:rsidRPr="0024552A">
              <w:rPr>
                <w:color w:val="000000" w:themeColor="text1"/>
                <w:shd w:val="clear" w:color="auto" w:fill="FFFEFE"/>
              </w:rPr>
              <w:t xml:space="preserve"> </w:t>
            </w:r>
            <w:r w:rsidR="00C81EB1" w:rsidRPr="005C399E">
              <w:rPr>
                <w:color w:val="000000" w:themeColor="text1"/>
                <w:shd w:val="clear" w:color="auto" w:fill="FFFEFE"/>
              </w:rPr>
              <w:t>This combination of effector</w:t>
            </w:r>
            <w:r w:rsidR="00C81EB1">
              <w:rPr>
                <w:color w:val="000000" w:themeColor="text1"/>
                <w:shd w:val="clear" w:color="auto" w:fill="FFFEFE"/>
              </w:rPr>
              <w:t>-</w:t>
            </w:r>
            <w:r w:rsidR="00C81EB1" w:rsidRPr="005C399E">
              <w:rPr>
                <w:color w:val="000000" w:themeColor="text1"/>
                <w:shd w:val="clear" w:color="auto" w:fill="FFFEFE"/>
              </w:rPr>
              <w:t>binding to IDs and to additional sites in the NLR seems to confer robust effector recognition.</w:t>
            </w:r>
            <w:r w:rsidR="00C81EB1">
              <w:rPr>
                <w:color w:val="000000" w:themeColor="text1"/>
                <w:shd w:val="clear" w:color="auto" w:fill="FFFEFE"/>
              </w:rPr>
              <w:t xml:space="preserve"> </w:t>
            </w:r>
            <w:r w:rsidR="005C399E" w:rsidRPr="005C399E">
              <w:rPr>
                <w:color w:val="000000" w:themeColor="text1"/>
                <w:shd w:val="clear" w:color="auto" w:fill="FFFEFE"/>
              </w:rPr>
              <w:t xml:space="preserve">Here, I will also </w:t>
            </w:r>
            <w:r w:rsidR="00C81EB1">
              <w:rPr>
                <w:color w:val="000000" w:themeColor="text1"/>
                <w:shd w:val="clear" w:color="auto" w:fill="FFFEFE"/>
              </w:rPr>
              <w:t xml:space="preserve">discuss </w:t>
            </w:r>
            <w:r w:rsidR="005C399E" w:rsidRPr="005C399E">
              <w:rPr>
                <w:color w:val="000000" w:themeColor="text1"/>
                <w:shd w:val="clear" w:color="auto" w:fill="FFFEFE"/>
              </w:rPr>
              <w:t xml:space="preserve">how </w:t>
            </w:r>
            <w:r w:rsidR="00C81EB1">
              <w:rPr>
                <w:color w:val="000000" w:themeColor="text1"/>
                <w:shd w:val="clear" w:color="auto" w:fill="FFFEFE"/>
              </w:rPr>
              <w:t>our</w:t>
            </w:r>
            <w:r w:rsidR="005C399E" w:rsidRPr="005C399E">
              <w:rPr>
                <w:color w:val="000000" w:themeColor="text1"/>
                <w:shd w:val="clear" w:color="auto" w:fill="FFFEFE"/>
              </w:rPr>
              <w:t xml:space="preserve"> knowledge of the molecular details of effector recognition by NLRs </w:t>
            </w:r>
            <w:r w:rsidR="00C81EB1">
              <w:rPr>
                <w:color w:val="000000" w:themeColor="text1"/>
                <w:shd w:val="clear" w:color="auto" w:fill="FFFEFE"/>
              </w:rPr>
              <w:t>carrying</w:t>
            </w:r>
            <w:r w:rsidR="005C399E" w:rsidRPr="005C399E">
              <w:rPr>
                <w:color w:val="000000" w:themeColor="text1"/>
                <w:shd w:val="clear" w:color="auto" w:fill="FFFEFE"/>
              </w:rPr>
              <w:t xml:space="preserve"> IDs can be exploited to extend the recognition spectrum of </w:t>
            </w:r>
            <w:r w:rsidR="002D2944">
              <w:rPr>
                <w:color w:val="000000" w:themeColor="text1"/>
                <w:shd w:val="clear" w:color="auto" w:fill="FFFEFE"/>
              </w:rPr>
              <w:t>plant</w:t>
            </w:r>
            <w:r w:rsidR="004B48F8">
              <w:rPr>
                <w:color w:val="000000" w:themeColor="text1"/>
                <w:shd w:val="clear" w:color="auto" w:fill="FFFEFE"/>
              </w:rPr>
              <w:t xml:space="preserve"> immune receptors</w:t>
            </w:r>
            <w:r w:rsidR="005C399E" w:rsidRPr="005C399E">
              <w:rPr>
                <w:color w:val="000000" w:themeColor="text1"/>
                <w:shd w:val="clear" w:color="auto" w:fill="FFFEFE"/>
              </w:rPr>
              <w:t>.</w:t>
            </w:r>
            <w:r w:rsidR="004B48F8">
              <w:rPr>
                <w:color w:val="000000" w:themeColor="text1"/>
                <w:shd w:val="clear" w:color="auto" w:fill="FFFEFE"/>
              </w:rPr>
              <w:t xml:space="preserve"> Briefly, </w:t>
            </w:r>
            <w:r w:rsidR="00404EE4">
              <w:rPr>
                <w:color w:val="000000" w:themeColor="text1"/>
                <w:shd w:val="clear" w:color="auto" w:fill="FFFEFE"/>
              </w:rPr>
              <w:t xml:space="preserve">I have </w:t>
            </w:r>
            <w:r w:rsidR="005C399E" w:rsidRPr="005C399E">
              <w:rPr>
                <w:color w:val="000000" w:themeColor="text1"/>
                <w:shd w:val="clear" w:color="auto" w:fill="FFFEFE"/>
              </w:rPr>
              <w:t>introduc</w:t>
            </w:r>
            <w:r w:rsidR="00404EE4">
              <w:rPr>
                <w:color w:val="000000" w:themeColor="text1"/>
                <w:shd w:val="clear" w:color="auto" w:fill="FFFEFE"/>
              </w:rPr>
              <w:t xml:space="preserve">ed </w:t>
            </w:r>
            <w:r w:rsidR="005C399E" w:rsidRPr="005C399E">
              <w:rPr>
                <w:color w:val="000000" w:themeColor="text1"/>
                <w:shd w:val="clear" w:color="auto" w:fill="FFFEFE"/>
              </w:rPr>
              <w:t xml:space="preserve">point mutations in the HMA domain of RGA5 </w:t>
            </w:r>
            <w:r w:rsidR="00404EE4">
              <w:rPr>
                <w:color w:val="000000" w:themeColor="text1"/>
                <w:shd w:val="clear" w:color="auto" w:fill="FFFEFE"/>
              </w:rPr>
              <w:t xml:space="preserve">to </w:t>
            </w:r>
            <w:r w:rsidR="005C399E" w:rsidRPr="005C399E">
              <w:rPr>
                <w:color w:val="000000" w:themeColor="text1"/>
                <w:shd w:val="clear" w:color="auto" w:fill="FFFEFE"/>
              </w:rPr>
              <w:t>investigate</w:t>
            </w:r>
            <w:r w:rsidR="00404EE4">
              <w:rPr>
                <w:color w:val="000000" w:themeColor="text1"/>
                <w:shd w:val="clear" w:color="auto" w:fill="FFFEFE"/>
              </w:rPr>
              <w:t xml:space="preserve"> </w:t>
            </w:r>
            <w:r w:rsidR="005C399E" w:rsidRPr="005C399E">
              <w:rPr>
                <w:color w:val="000000" w:themeColor="text1"/>
                <w:shd w:val="clear" w:color="auto" w:fill="FFFEFE"/>
              </w:rPr>
              <w:t xml:space="preserve">the possibility of modifying </w:t>
            </w:r>
            <w:r w:rsidR="008D3428">
              <w:rPr>
                <w:color w:val="000000" w:themeColor="text1"/>
                <w:shd w:val="clear" w:color="auto" w:fill="FFFEFE"/>
              </w:rPr>
              <w:t>the</w:t>
            </w:r>
            <w:r w:rsidR="005C399E" w:rsidRPr="005C399E">
              <w:rPr>
                <w:color w:val="000000" w:themeColor="text1"/>
                <w:shd w:val="clear" w:color="auto" w:fill="FFFEFE"/>
              </w:rPr>
              <w:t xml:space="preserve"> recognition specificity </w:t>
            </w:r>
            <w:r w:rsidR="008D3428">
              <w:rPr>
                <w:color w:val="000000" w:themeColor="text1"/>
                <w:shd w:val="clear" w:color="auto" w:fill="FFFEFE"/>
              </w:rPr>
              <w:t xml:space="preserve">of this receptor </w:t>
            </w:r>
            <w:r w:rsidR="00404EE4">
              <w:rPr>
                <w:color w:val="000000" w:themeColor="text1"/>
                <w:shd w:val="clear" w:color="auto" w:fill="FFFEFE"/>
              </w:rPr>
              <w:t>and</w:t>
            </w:r>
            <w:r w:rsidR="005C399E" w:rsidRPr="005C399E">
              <w:rPr>
                <w:color w:val="000000" w:themeColor="text1"/>
                <w:shd w:val="clear" w:color="auto" w:fill="FFFEFE"/>
              </w:rPr>
              <w:t xml:space="preserve"> enable the </w:t>
            </w:r>
            <w:r w:rsidR="00404EE4">
              <w:rPr>
                <w:color w:val="000000" w:themeColor="text1"/>
                <w:shd w:val="clear" w:color="auto" w:fill="FFFEFE"/>
              </w:rPr>
              <w:t>detection</w:t>
            </w:r>
            <w:r w:rsidR="00404EE4" w:rsidRPr="005C399E">
              <w:rPr>
                <w:color w:val="000000" w:themeColor="text1"/>
                <w:shd w:val="clear" w:color="auto" w:fill="FFFEFE"/>
              </w:rPr>
              <w:t xml:space="preserve"> </w:t>
            </w:r>
            <w:r w:rsidR="005C399E" w:rsidRPr="005C399E">
              <w:rPr>
                <w:color w:val="000000" w:themeColor="text1"/>
                <w:shd w:val="clear" w:color="auto" w:fill="FFFEFE"/>
              </w:rPr>
              <w:t xml:space="preserve">of AVR-PikD, another </w:t>
            </w:r>
            <w:r w:rsidR="005C399E" w:rsidRPr="008D3428">
              <w:rPr>
                <w:i/>
                <w:iCs/>
                <w:color w:val="000000" w:themeColor="text1"/>
                <w:shd w:val="clear" w:color="auto" w:fill="FFFEFE"/>
              </w:rPr>
              <w:t>M. oryzae</w:t>
            </w:r>
            <w:r w:rsidR="005C399E" w:rsidRPr="005C399E">
              <w:rPr>
                <w:color w:val="000000" w:themeColor="text1"/>
                <w:shd w:val="clear" w:color="auto" w:fill="FFFEFE"/>
              </w:rPr>
              <w:t xml:space="preserve"> effector.</w:t>
            </w:r>
          </w:p>
        </w:tc>
      </w:tr>
      <w:tr w:rsidR="00404EE4" w:rsidRPr="00A46630" w:rsidTr="001D6DE7">
        <w:trPr>
          <w:trHeight w:val="50"/>
          <w:jc w:val="center"/>
        </w:trPr>
        <w:tc>
          <w:tcPr>
            <w:tcW w:w="6522" w:type="dxa"/>
            <w:gridSpan w:val="2"/>
          </w:tcPr>
          <w:p w:rsidR="00404EE4" w:rsidRPr="009B3F71" w:rsidRDefault="00404EE4" w:rsidP="004B48F8">
            <w:pPr>
              <w:jc w:val="both"/>
              <w:rPr>
                <w:lang w:val="en-US"/>
              </w:rPr>
            </w:pPr>
          </w:p>
        </w:tc>
      </w:tr>
    </w:tbl>
    <w:p w:rsidR="00404EE4" w:rsidRPr="00A46630" w:rsidRDefault="00404EE4" w:rsidP="00404EE4">
      <w:pPr>
        <w:rPr>
          <w:lang w:val="en-US"/>
        </w:rPr>
      </w:pPr>
    </w:p>
    <w:sectPr w:rsidR="00404EE4" w:rsidRPr="00A46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C3"/>
    <w:rsid w:val="00055B67"/>
    <w:rsid w:val="00147508"/>
    <w:rsid w:val="0024552A"/>
    <w:rsid w:val="00265622"/>
    <w:rsid w:val="002A75F7"/>
    <w:rsid w:val="002B0CB6"/>
    <w:rsid w:val="002D2944"/>
    <w:rsid w:val="00404EE4"/>
    <w:rsid w:val="00463519"/>
    <w:rsid w:val="004B48F8"/>
    <w:rsid w:val="004F2297"/>
    <w:rsid w:val="00530122"/>
    <w:rsid w:val="005C399E"/>
    <w:rsid w:val="006446C3"/>
    <w:rsid w:val="007029D1"/>
    <w:rsid w:val="00830837"/>
    <w:rsid w:val="008D3428"/>
    <w:rsid w:val="009B3F71"/>
    <w:rsid w:val="00A46630"/>
    <w:rsid w:val="00A6528D"/>
    <w:rsid w:val="00A84F76"/>
    <w:rsid w:val="00B17B0D"/>
    <w:rsid w:val="00B73DEA"/>
    <w:rsid w:val="00C34E7F"/>
    <w:rsid w:val="00C81EB1"/>
    <w:rsid w:val="00D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074E4-4294-4240-AB01-5D297EC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C3"/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aliases w:val="test"/>
    <w:basedOn w:val="TableauNormal"/>
    <w:uiPriority w:val="59"/>
    <w:rsid w:val="006446C3"/>
    <w:pPr>
      <w:spacing w:after="0" w:line="240" w:lineRule="auto"/>
    </w:pPr>
    <w:rPr>
      <w:rFonts w:cs="Arial"/>
      <w:sz w:val="20"/>
      <w:szCs w:val="20"/>
    </w:rPr>
    <w:tblPr/>
  </w:style>
  <w:style w:type="paragraph" w:styleId="Textedebulles">
    <w:name w:val="Balloon Text"/>
    <w:basedOn w:val="Normal"/>
    <w:link w:val="TextedebullesCar"/>
    <w:uiPriority w:val="99"/>
    <w:semiHidden/>
    <w:unhideWhenUsed/>
    <w:rsid w:val="0040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CFB07-28A3-4FC7-8F11-11C5DB34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252</Words>
  <Characters>1490</Characters>
  <Application>Microsoft Office Word</Application>
  <DocSecurity>0</DocSecurity>
  <Lines>37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Lancaster University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Sarah</dc:creator>
  <cp:keywords/>
  <dc:description/>
  <cp:lastModifiedBy>stella cesari</cp:lastModifiedBy>
  <cp:revision>9</cp:revision>
  <dcterms:created xsi:type="dcterms:W3CDTF">2019-06-21T09:56:00Z</dcterms:created>
  <dcterms:modified xsi:type="dcterms:W3CDTF">2019-06-21T14:09:00Z</dcterms:modified>
</cp:coreProperties>
</file>