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3992" w:rsidRPr="00703992" w:rsidRDefault="00703992" w:rsidP="00703992">
      <w:pPr>
        <w:spacing w:after="240"/>
        <w:jc w:val="center"/>
        <w:rPr>
          <w:b/>
          <w:sz w:val="32"/>
          <w:szCs w:val="32"/>
          <w:lang w:val="fr-FR"/>
        </w:rPr>
      </w:pPr>
      <w:bookmarkStart w:id="0" w:name="_GoBack"/>
      <w:bookmarkEnd w:id="0"/>
      <w:r w:rsidRPr="00703992">
        <w:rPr>
          <w:b/>
          <w:sz w:val="32"/>
          <w:szCs w:val="32"/>
          <w:lang w:val="fr-FR"/>
        </w:rPr>
        <w:t xml:space="preserve">Projet </w:t>
      </w:r>
      <w:proofErr w:type="spellStart"/>
      <w:r w:rsidRPr="00703992">
        <w:rPr>
          <w:b/>
          <w:sz w:val="32"/>
          <w:szCs w:val="32"/>
          <w:lang w:val="fr-FR"/>
        </w:rPr>
        <w:t>PhytoCOTE</w:t>
      </w:r>
      <w:proofErr w:type="spellEnd"/>
      <w:r w:rsidRPr="00703992">
        <w:rPr>
          <w:b/>
          <w:sz w:val="32"/>
          <w:szCs w:val="32"/>
          <w:lang w:val="fr-FR"/>
        </w:rPr>
        <w:t> : Etat des lieux de la contamination organique et inorganique des sols viticoles</w:t>
      </w:r>
    </w:p>
    <w:p w:rsidR="00D93BE2" w:rsidRPr="00703992" w:rsidRDefault="00703992" w:rsidP="00703992">
      <w:pPr>
        <w:jc w:val="center"/>
        <w:rPr>
          <w:b/>
          <w:sz w:val="32"/>
          <w:szCs w:val="32"/>
          <w:lang w:val="fr-FR"/>
        </w:rPr>
      </w:pPr>
      <w:r w:rsidRPr="00703992">
        <w:rPr>
          <w:lang w:val="fr-FR"/>
        </w:rPr>
        <w:t xml:space="preserve">Manon </w:t>
      </w:r>
      <w:proofErr w:type="spellStart"/>
      <w:proofErr w:type="gramStart"/>
      <w:r w:rsidRPr="00703992">
        <w:rPr>
          <w:lang w:val="fr-FR"/>
        </w:rPr>
        <w:t>Pierdet</w:t>
      </w:r>
      <w:r w:rsidRPr="00703992">
        <w:rPr>
          <w:vertAlign w:val="superscript"/>
          <w:lang w:val="fr-FR"/>
        </w:rPr>
        <w:t>a,b</w:t>
      </w:r>
      <w:proofErr w:type="spellEnd"/>
      <w:proofErr w:type="gramEnd"/>
      <w:r w:rsidRPr="00703992">
        <w:rPr>
          <w:lang w:val="fr-FR"/>
        </w:rPr>
        <w:t xml:space="preserve">, Juliette </w:t>
      </w:r>
      <w:proofErr w:type="spellStart"/>
      <w:r w:rsidRPr="00703992">
        <w:rPr>
          <w:lang w:val="fr-FR"/>
        </w:rPr>
        <w:t>Gaillard</w:t>
      </w:r>
      <w:r w:rsidRPr="00703992">
        <w:rPr>
          <w:vertAlign w:val="superscript"/>
          <w:lang w:val="fr-FR"/>
        </w:rPr>
        <w:t>b</w:t>
      </w:r>
      <w:proofErr w:type="spellEnd"/>
      <w:r w:rsidRPr="00703992">
        <w:rPr>
          <w:lang w:val="fr-FR"/>
        </w:rPr>
        <w:t xml:space="preserve">, Marie-Hélène </w:t>
      </w:r>
      <w:proofErr w:type="spellStart"/>
      <w:r w:rsidRPr="00703992">
        <w:rPr>
          <w:lang w:val="fr-FR"/>
        </w:rPr>
        <w:t>Devier</w:t>
      </w:r>
      <w:r w:rsidRPr="00703992">
        <w:rPr>
          <w:vertAlign w:val="superscript"/>
          <w:lang w:val="fr-FR"/>
        </w:rPr>
        <w:t>b</w:t>
      </w:r>
      <w:proofErr w:type="spellEnd"/>
      <w:r w:rsidRPr="00703992">
        <w:rPr>
          <w:lang w:val="fr-FR"/>
        </w:rPr>
        <w:t xml:space="preserve">, L. </w:t>
      </w:r>
      <w:proofErr w:type="spellStart"/>
      <w:r w:rsidRPr="00703992">
        <w:rPr>
          <w:lang w:val="fr-FR"/>
        </w:rPr>
        <w:t>Denaix</w:t>
      </w:r>
      <w:r w:rsidRPr="00703992">
        <w:rPr>
          <w:vertAlign w:val="superscript"/>
          <w:lang w:val="fr-FR"/>
        </w:rPr>
        <w:t>a</w:t>
      </w:r>
      <w:proofErr w:type="spellEnd"/>
      <w:r w:rsidRPr="00703992">
        <w:rPr>
          <w:lang w:val="fr-FR"/>
        </w:rPr>
        <w:t xml:space="preserve">, H. </w:t>
      </w:r>
      <w:proofErr w:type="spellStart"/>
      <w:r w:rsidRPr="00703992">
        <w:rPr>
          <w:lang w:val="fr-FR"/>
        </w:rPr>
        <w:t>Budzinski</w:t>
      </w:r>
      <w:r w:rsidRPr="00703992">
        <w:rPr>
          <w:vertAlign w:val="superscript"/>
          <w:lang w:val="fr-FR"/>
        </w:rPr>
        <w:t>b</w:t>
      </w:r>
      <w:proofErr w:type="spellEnd"/>
    </w:p>
    <w:p w:rsidR="00703992" w:rsidRPr="00703992" w:rsidRDefault="00703992" w:rsidP="00703992">
      <w:pPr>
        <w:jc w:val="center"/>
        <w:rPr>
          <w:lang w:val="fr-FR"/>
        </w:rPr>
      </w:pPr>
      <w:proofErr w:type="spellStart"/>
      <w:proofErr w:type="gramStart"/>
      <w:r w:rsidRPr="00703992">
        <w:rPr>
          <w:vertAlign w:val="superscript"/>
          <w:lang w:val="fr-FR"/>
        </w:rPr>
        <w:t>a</w:t>
      </w:r>
      <w:proofErr w:type="spellEnd"/>
      <w:proofErr w:type="gramEnd"/>
      <w:r w:rsidRPr="00703992">
        <w:rPr>
          <w:lang w:val="fr-FR"/>
        </w:rPr>
        <w:t xml:space="preserve"> ISPA, UMR 1391, INRA, Villenave d’</w:t>
      </w:r>
      <w:proofErr w:type="spellStart"/>
      <w:r w:rsidRPr="00703992">
        <w:rPr>
          <w:lang w:val="fr-FR"/>
        </w:rPr>
        <w:t>Ornon</w:t>
      </w:r>
      <w:proofErr w:type="spellEnd"/>
      <w:r w:rsidRPr="00703992">
        <w:rPr>
          <w:lang w:val="fr-FR"/>
        </w:rPr>
        <w:t>, France</w:t>
      </w:r>
    </w:p>
    <w:p w:rsidR="00D93BE2" w:rsidRPr="00703992" w:rsidRDefault="00703992" w:rsidP="00703992">
      <w:pPr>
        <w:jc w:val="center"/>
        <w:rPr>
          <w:lang w:val="fr-FR"/>
        </w:rPr>
      </w:pPr>
      <w:proofErr w:type="gramStart"/>
      <w:r w:rsidRPr="00703992">
        <w:rPr>
          <w:vertAlign w:val="superscript"/>
          <w:lang w:val="fr-FR"/>
        </w:rPr>
        <w:t>b</w:t>
      </w:r>
      <w:proofErr w:type="gramEnd"/>
      <w:r w:rsidRPr="00703992">
        <w:rPr>
          <w:vertAlign w:val="superscript"/>
          <w:lang w:val="fr-FR"/>
        </w:rPr>
        <w:t xml:space="preserve"> </w:t>
      </w:r>
      <w:r w:rsidRPr="00703992">
        <w:rPr>
          <w:lang w:val="fr-FR"/>
        </w:rPr>
        <w:t>LPTC, UMR 5850, EPOC, Talence, France</w:t>
      </w:r>
    </w:p>
    <w:p w:rsidR="00C07DDA" w:rsidRPr="00A34E17" w:rsidRDefault="00E922A0" w:rsidP="00A34E17">
      <w:pPr>
        <w:pStyle w:val="GFP2012texte"/>
        <w:spacing w:after="240"/>
        <w:rPr>
          <w:lang w:val="fr-FR"/>
        </w:rPr>
      </w:pPr>
      <w:r w:rsidRPr="0001765D">
        <w:rPr>
          <w:lang w:val="fr-FR"/>
        </w:rPr>
        <w:t>Résumé</w:t>
      </w:r>
      <w:r w:rsidR="00340FEC">
        <w:rPr>
          <w:lang w:val="fr-FR"/>
        </w:rPr>
        <w:t> :</w:t>
      </w:r>
    </w:p>
    <w:p w:rsidR="00C07DDA" w:rsidRPr="00C07DDA" w:rsidRDefault="00C07DDA" w:rsidP="00A34E17">
      <w:pPr>
        <w:rPr>
          <w:snapToGrid w:val="0"/>
          <w:kern w:val="0"/>
          <w:sz w:val="16"/>
          <w:lang w:val="fr-FR"/>
        </w:rPr>
      </w:pPr>
      <w:r w:rsidRPr="00C07DDA">
        <w:rPr>
          <w:sz w:val="16"/>
          <w:lang w:val="fr-FR"/>
        </w:rPr>
        <w:t xml:space="preserve"> </w:t>
      </w:r>
      <w:r w:rsidRPr="00C07DDA">
        <w:rPr>
          <w:lang w:val="fr-FR"/>
        </w:rPr>
        <w:t xml:space="preserve">La viticulture est une des cultures les plus consommatrices de pesticides en France, plus particulièrement de fongicides. En Gironde, elle fait face à des enjeux sociétaux et économiques importants. 120 809 hectares sont couverts par des exploitations agricoles. </w:t>
      </w:r>
      <w:r w:rsidR="00722AF3" w:rsidRPr="00456BED">
        <w:rPr>
          <w:lang w:val="fr-FR"/>
        </w:rPr>
        <w:t>Ces</w:t>
      </w:r>
      <w:r w:rsidRPr="00C07DDA">
        <w:rPr>
          <w:lang w:val="fr-FR"/>
        </w:rPr>
        <w:t xml:space="preserve"> apports réguliers peuvent entrainer une contamination des écosystèmes à long terme et impacter la faune et la flore. Il est donc nécessaire </w:t>
      </w:r>
      <w:r w:rsidR="00456BED">
        <w:rPr>
          <w:lang w:val="fr-FR"/>
        </w:rPr>
        <w:t xml:space="preserve">de mieux comprendre la dynamique de ces apports dans les sols afin </w:t>
      </w:r>
      <w:r w:rsidRPr="00C07DDA">
        <w:rPr>
          <w:lang w:val="fr-FR"/>
        </w:rPr>
        <w:t xml:space="preserve">de se diriger vers une viticulture </w:t>
      </w:r>
      <w:r w:rsidR="00722AF3">
        <w:rPr>
          <w:lang w:val="fr-FR"/>
        </w:rPr>
        <w:t xml:space="preserve">plus </w:t>
      </w:r>
      <w:r w:rsidRPr="00C07DDA">
        <w:rPr>
          <w:lang w:val="fr-FR"/>
        </w:rPr>
        <w:t>raisonnée.</w:t>
      </w:r>
    </w:p>
    <w:p w:rsidR="003C01AD" w:rsidRDefault="00703992" w:rsidP="00A34E17">
      <w:pPr>
        <w:spacing w:after="240"/>
        <w:rPr>
          <w:lang w:val="fr-FR"/>
        </w:rPr>
      </w:pPr>
      <w:r w:rsidRPr="00703992">
        <w:rPr>
          <w:lang w:val="fr-FR"/>
        </w:rPr>
        <w:t xml:space="preserve">Dans les sols, différents processus peuvent jouer un rôle dans la rétention ou les transferts de ces pesticides vers d’autres compartiments. </w:t>
      </w:r>
    </w:p>
    <w:p w:rsidR="003C01AD" w:rsidRDefault="00635D0E" w:rsidP="00C130A0">
      <w:pPr>
        <w:widowControl w:val="0"/>
        <w:autoSpaceDE w:val="0"/>
        <w:autoSpaceDN w:val="0"/>
        <w:adjustRightInd w:val="0"/>
        <w:jc w:val="center"/>
        <w:rPr>
          <w:lang w:val="fr-FR"/>
        </w:rPr>
      </w:pPr>
      <w:r>
        <w:rPr>
          <w:noProof/>
          <w:lang w:val="fr-FR" w:eastAsia="fr-FR"/>
        </w:rPr>
        <w:drawing>
          <wp:inline distT="0" distB="0" distL="0" distR="0">
            <wp:extent cx="4646295" cy="2179955"/>
            <wp:effectExtent l="0" t="0" r="0" b="0"/>
            <wp:docPr id="1" name="Image 1" descr="mecanis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canism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646295" cy="2179955"/>
                    </a:xfrm>
                    <a:prstGeom prst="rect">
                      <a:avLst/>
                    </a:prstGeom>
                    <a:noFill/>
                    <a:ln>
                      <a:noFill/>
                    </a:ln>
                  </pic:spPr>
                </pic:pic>
              </a:graphicData>
            </a:graphic>
          </wp:inline>
        </w:drawing>
      </w:r>
    </w:p>
    <w:p w:rsidR="003C01AD" w:rsidRDefault="003C01AD" w:rsidP="00A34E17">
      <w:pPr>
        <w:widowControl w:val="0"/>
        <w:autoSpaceDE w:val="0"/>
        <w:autoSpaceDN w:val="0"/>
        <w:adjustRightInd w:val="0"/>
        <w:spacing w:after="240"/>
        <w:jc w:val="center"/>
        <w:rPr>
          <w:lang w:val="fr-FR"/>
        </w:rPr>
      </w:pPr>
      <w:r w:rsidRPr="003C01AD">
        <w:rPr>
          <w:u w:val="single"/>
          <w:lang w:val="fr-FR"/>
        </w:rPr>
        <w:t>Figure 1 :</w:t>
      </w:r>
      <w:r>
        <w:rPr>
          <w:lang w:val="fr-FR"/>
        </w:rPr>
        <w:t xml:space="preserve"> Mécanismes d’incorporation des pesticides après épandage</w:t>
      </w:r>
    </w:p>
    <w:p w:rsidR="00703992" w:rsidRDefault="00703992" w:rsidP="00703992">
      <w:pPr>
        <w:widowControl w:val="0"/>
        <w:autoSpaceDE w:val="0"/>
        <w:autoSpaceDN w:val="0"/>
        <w:adjustRightInd w:val="0"/>
        <w:rPr>
          <w:lang w:val="fr-FR"/>
        </w:rPr>
      </w:pPr>
      <w:r w:rsidRPr="00703992">
        <w:rPr>
          <w:lang w:val="fr-FR"/>
        </w:rPr>
        <w:t xml:space="preserve">Afin d’apporter une meilleure compréhension de l’évolution spatiale et temporelle de contaminants de nature chimique différente au sein de plusieurs types de sols, un état des lieux des niveaux de contamination des sols en surface et une caractérisation de la disponibilité des éléments traces ont été réalisés. </w:t>
      </w:r>
    </w:p>
    <w:p w:rsidR="000A089D" w:rsidRPr="00703992" w:rsidRDefault="00367F1A" w:rsidP="00A34E17">
      <w:pPr>
        <w:widowControl w:val="0"/>
        <w:autoSpaceDE w:val="0"/>
        <w:autoSpaceDN w:val="0"/>
        <w:adjustRightInd w:val="0"/>
        <w:spacing w:after="240"/>
        <w:rPr>
          <w:lang w:val="fr-FR"/>
        </w:rPr>
      </w:pPr>
      <w:r>
        <w:rPr>
          <w:lang w:val="fr-FR"/>
        </w:rPr>
        <w:t xml:space="preserve">Le site d’étude est un bassin viticole dont la principale activité est </w:t>
      </w:r>
      <w:r w:rsidR="00BE174F">
        <w:rPr>
          <w:lang w:val="fr-FR"/>
        </w:rPr>
        <w:t>la viticulture. Il se situe</w:t>
      </w:r>
      <w:r>
        <w:rPr>
          <w:lang w:val="fr-FR"/>
        </w:rPr>
        <w:t xml:space="preserve"> à Marcillac (33) dans le Blayais. </w:t>
      </w:r>
      <w:r w:rsidR="00BE174F">
        <w:rPr>
          <w:lang w:val="fr-FR"/>
        </w:rPr>
        <w:t>Ce site possède u</w:t>
      </w:r>
      <w:r>
        <w:rPr>
          <w:lang w:val="fr-FR"/>
        </w:rPr>
        <w:t>ne forte diversité pédologique (</w:t>
      </w:r>
      <w:proofErr w:type="spellStart"/>
      <w:r>
        <w:rPr>
          <w:lang w:val="fr-FR"/>
        </w:rPr>
        <w:t>podzosol</w:t>
      </w:r>
      <w:proofErr w:type="spellEnd"/>
      <w:r>
        <w:rPr>
          <w:lang w:val="fr-FR"/>
        </w:rPr>
        <w:t xml:space="preserve">, </w:t>
      </w:r>
      <w:proofErr w:type="spellStart"/>
      <w:r>
        <w:rPr>
          <w:lang w:val="fr-FR"/>
        </w:rPr>
        <w:t>luvisol</w:t>
      </w:r>
      <w:proofErr w:type="spellEnd"/>
      <w:r>
        <w:rPr>
          <w:lang w:val="fr-FR"/>
        </w:rPr>
        <w:t xml:space="preserve">, </w:t>
      </w:r>
      <w:proofErr w:type="spellStart"/>
      <w:r>
        <w:rPr>
          <w:lang w:val="fr-FR"/>
        </w:rPr>
        <w:t>peyrosol</w:t>
      </w:r>
      <w:proofErr w:type="spellEnd"/>
      <w:r>
        <w:rPr>
          <w:lang w:val="fr-FR"/>
        </w:rPr>
        <w:t xml:space="preserve">) </w:t>
      </w:r>
      <w:r w:rsidR="00BE174F">
        <w:rPr>
          <w:lang w:val="fr-FR"/>
        </w:rPr>
        <w:t xml:space="preserve">ainsi qu’une connexion à la Garonne via le ruisseau des Souches et la rivière de la </w:t>
      </w:r>
      <w:proofErr w:type="spellStart"/>
      <w:r w:rsidR="00BE174F">
        <w:rPr>
          <w:lang w:val="fr-FR"/>
        </w:rPr>
        <w:t>Livenne</w:t>
      </w:r>
      <w:proofErr w:type="spellEnd"/>
      <w:r w:rsidR="00BE174F">
        <w:rPr>
          <w:lang w:val="fr-FR"/>
        </w:rPr>
        <w:t>.</w:t>
      </w:r>
    </w:p>
    <w:p w:rsidR="000A089D" w:rsidRDefault="00703992" w:rsidP="00703992">
      <w:pPr>
        <w:widowControl w:val="0"/>
        <w:autoSpaceDE w:val="0"/>
        <w:autoSpaceDN w:val="0"/>
        <w:adjustRightInd w:val="0"/>
        <w:rPr>
          <w:lang w:val="fr-FR"/>
        </w:rPr>
      </w:pPr>
      <w:r w:rsidRPr="00703992">
        <w:rPr>
          <w:lang w:val="fr-FR"/>
        </w:rPr>
        <w:t xml:space="preserve">53 parcelles présentant une diversité pédologique importante ont été échantillonnées sur l’horizon 0-15 cm. Les sols ont été caractérisés (matière organique, </w:t>
      </w:r>
      <w:r w:rsidR="00367F1A">
        <w:rPr>
          <w:lang w:val="fr-FR"/>
        </w:rPr>
        <w:t xml:space="preserve">C/N, </w:t>
      </w:r>
      <w:r w:rsidRPr="00703992">
        <w:rPr>
          <w:lang w:val="fr-FR"/>
        </w:rPr>
        <w:t xml:space="preserve">oxyhydroxydes d’Al et Fe, CEC, granulométrie, pH) et les dosages des teneurs totales en cuivre, cadmium, plomb et zinc ainsi que de 205 molécules organiques ont été réalisés. </w:t>
      </w:r>
    </w:p>
    <w:p w:rsidR="00703992" w:rsidRDefault="00703992" w:rsidP="00703992">
      <w:pPr>
        <w:widowControl w:val="0"/>
        <w:autoSpaceDE w:val="0"/>
        <w:autoSpaceDN w:val="0"/>
        <w:adjustRightInd w:val="0"/>
        <w:rPr>
          <w:lang w:val="fr-FR"/>
        </w:rPr>
      </w:pPr>
      <w:r w:rsidRPr="00703992">
        <w:rPr>
          <w:lang w:val="fr-FR"/>
        </w:rPr>
        <w:t xml:space="preserve">Une contamination en cuivre due à l’utilisation ancienne et actuelle de bouillie bordelaise (à base de sulfate de cuivre) a été mise en évidence sur le site d’étude (jusqu’à 343 mg/kg de sol sec). </w:t>
      </w:r>
    </w:p>
    <w:p w:rsidR="00367F1A" w:rsidRPr="00703992" w:rsidRDefault="00367F1A" w:rsidP="00703992">
      <w:pPr>
        <w:widowControl w:val="0"/>
        <w:autoSpaceDE w:val="0"/>
        <w:autoSpaceDN w:val="0"/>
        <w:adjustRightInd w:val="0"/>
        <w:rPr>
          <w:lang w:val="fr-FR"/>
        </w:rPr>
      </w:pPr>
      <w:r>
        <w:rPr>
          <w:lang w:val="fr-FR"/>
        </w:rPr>
        <w:t>Une corrélation entre l’usage viticole ancien et la concentration en cuivre a été mise en évidence montrant ainsi la forte rétention du cuivre dans les sols.</w:t>
      </w:r>
    </w:p>
    <w:p w:rsidR="00367F1A" w:rsidRDefault="00703992" w:rsidP="00703992">
      <w:pPr>
        <w:widowControl w:val="0"/>
        <w:autoSpaceDE w:val="0"/>
        <w:autoSpaceDN w:val="0"/>
        <w:adjustRightInd w:val="0"/>
        <w:rPr>
          <w:lang w:val="fr-FR"/>
        </w:rPr>
      </w:pPr>
      <w:r w:rsidRPr="00703992">
        <w:rPr>
          <w:lang w:val="fr-FR"/>
        </w:rPr>
        <w:t xml:space="preserve">Concernant les </w:t>
      </w:r>
      <w:r w:rsidR="00722AF3">
        <w:rPr>
          <w:lang w:val="fr-FR"/>
        </w:rPr>
        <w:t xml:space="preserve">composés </w:t>
      </w:r>
      <w:r w:rsidRPr="00703992">
        <w:rPr>
          <w:lang w:val="fr-FR"/>
        </w:rPr>
        <w:t xml:space="preserve">organiques, une grande diversité de molécules a été observée dans les sols à </w:t>
      </w:r>
      <w:r w:rsidR="00722AF3">
        <w:rPr>
          <w:lang w:val="fr-FR"/>
        </w:rPr>
        <w:t>des</w:t>
      </w:r>
      <w:r w:rsidRPr="00703992">
        <w:rPr>
          <w:lang w:val="fr-FR"/>
        </w:rPr>
        <w:t xml:space="preserve"> concentration</w:t>
      </w:r>
      <w:r w:rsidR="00722AF3">
        <w:rPr>
          <w:lang w:val="fr-FR"/>
        </w:rPr>
        <w:t>s variables</w:t>
      </w:r>
      <w:r w:rsidRPr="00703992">
        <w:rPr>
          <w:lang w:val="fr-FR"/>
        </w:rPr>
        <w:t xml:space="preserve"> selon les parcelles.</w:t>
      </w:r>
      <w:r w:rsidR="00367F1A">
        <w:rPr>
          <w:lang w:val="fr-FR"/>
        </w:rPr>
        <w:t xml:space="preserve"> Sur les 205 molécules suivies, 65 ont des concentrations supérieures à la limite de quantification.</w:t>
      </w:r>
      <w:r w:rsidRPr="00703992">
        <w:rPr>
          <w:lang w:val="fr-FR"/>
        </w:rPr>
        <w:t xml:space="preserve"> </w:t>
      </w:r>
      <w:r w:rsidR="00367F1A">
        <w:rPr>
          <w:lang w:val="fr-FR"/>
        </w:rPr>
        <w:t>Ce</w:t>
      </w:r>
      <w:r w:rsidR="00BE174F">
        <w:rPr>
          <w:lang w:val="fr-FR"/>
        </w:rPr>
        <w:t>rtains fongicides tels que le té</w:t>
      </w:r>
      <w:r w:rsidR="00367F1A">
        <w:rPr>
          <w:lang w:val="fr-FR"/>
        </w:rPr>
        <w:t xml:space="preserve">buconazole, le </w:t>
      </w:r>
      <w:proofErr w:type="spellStart"/>
      <w:r w:rsidR="00367F1A">
        <w:rPr>
          <w:lang w:val="fr-FR"/>
        </w:rPr>
        <w:t>dimétomorphe</w:t>
      </w:r>
      <w:proofErr w:type="spellEnd"/>
      <w:r w:rsidR="00367F1A">
        <w:rPr>
          <w:lang w:val="fr-FR"/>
        </w:rPr>
        <w:t xml:space="preserve">, le </w:t>
      </w:r>
      <w:proofErr w:type="spellStart"/>
      <w:r w:rsidR="00BE174F">
        <w:rPr>
          <w:lang w:val="fr-FR"/>
        </w:rPr>
        <w:lastRenderedPageBreak/>
        <w:t>bénalaxyl</w:t>
      </w:r>
      <w:proofErr w:type="spellEnd"/>
      <w:r w:rsidR="00367F1A">
        <w:rPr>
          <w:lang w:val="fr-FR"/>
        </w:rPr>
        <w:t xml:space="preserve"> sont récurrents dans les sols. Contrairement au cuivre, aucune corrélation avec l’usage viticole ancien n’a été </w:t>
      </w:r>
      <w:r w:rsidR="00722AF3">
        <w:rPr>
          <w:lang w:val="fr-FR"/>
        </w:rPr>
        <w:t>mise en évidence</w:t>
      </w:r>
      <w:r w:rsidR="00367F1A">
        <w:rPr>
          <w:lang w:val="fr-FR"/>
        </w:rPr>
        <w:t>. En effet, les propriétés physico-chimiques des molécules ainsi que les propriétés du sol et les conditions climatiques vont fortement impacter leur cinétique de dégradation et leur rétention.</w:t>
      </w:r>
    </w:p>
    <w:p w:rsidR="00BE174F" w:rsidRDefault="00703992" w:rsidP="00A34E17">
      <w:pPr>
        <w:widowControl w:val="0"/>
        <w:autoSpaceDE w:val="0"/>
        <w:autoSpaceDN w:val="0"/>
        <w:adjustRightInd w:val="0"/>
        <w:spacing w:after="240"/>
        <w:rPr>
          <w:lang w:val="fr-FR" w:eastAsia="fr-FR"/>
        </w:rPr>
      </w:pPr>
      <w:r w:rsidRPr="00703992">
        <w:rPr>
          <w:lang w:val="fr-FR"/>
        </w:rPr>
        <w:t xml:space="preserve">L’analyse </w:t>
      </w:r>
      <w:r w:rsidR="00996C07">
        <w:rPr>
          <w:lang w:val="fr-FR"/>
        </w:rPr>
        <w:t xml:space="preserve">plus approfondie </w:t>
      </w:r>
      <w:r w:rsidRPr="00703992">
        <w:rPr>
          <w:lang w:val="fr-FR"/>
        </w:rPr>
        <w:t xml:space="preserve">de ces résultats permettra de montrer si : (1) </w:t>
      </w:r>
      <w:r w:rsidRPr="00703992">
        <w:rPr>
          <w:lang w:val="fr-FR" w:eastAsia="fr-FR"/>
        </w:rPr>
        <w:t xml:space="preserve">les niveaux de contamination en cuivre impactent la dégradation et les niveaux de contamination en </w:t>
      </w:r>
      <w:r w:rsidR="00722AF3">
        <w:rPr>
          <w:lang w:val="fr-FR" w:eastAsia="fr-FR"/>
        </w:rPr>
        <w:t xml:space="preserve">composés </w:t>
      </w:r>
      <w:r w:rsidRPr="00703992">
        <w:rPr>
          <w:lang w:val="fr-FR" w:eastAsia="fr-FR"/>
        </w:rPr>
        <w:t xml:space="preserve">organiques ; (2) les paramètres physicochimiques des sols impactent la dégradation des </w:t>
      </w:r>
      <w:r w:rsidR="00722AF3">
        <w:rPr>
          <w:lang w:val="fr-FR" w:eastAsia="fr-FR"/>
        </w:rPr>
        <w:t xml:space="preserve">composés </w:t>
      </w:r>
      <w:r w:rsidRPr="00703992">
        <w:rPr>
          <w:lang w:val="fr-FR" w:eastAsia="fr-FR"/>
        </w:rPr>
        <w:t xml:space="preserve">organiques et la rétention du cuivre et des </w:t>
      </w:r>
      <w:r w:rsidR="00722AF3">
        <w:rPr>
          <w:lang w:val="fr-FR" w:eastAsia="fr-FR"/>
        </w:rPr>
        <w:t xml:space="preserve">composés </w:t>
      </w:r>
      <w:r w:rsidRPr="00703992">
        <w:rPr>
          <w:lang w:val="fr-FR" w:eastAsia="fr-FR"/>
        </w:rPr>
        <w:t>organiques : (3) l’usage présent et ancien des sols jouent sur les niveaux de contamination.</w:t>
      </w:r>
    </w:p>
    <w:p w:rsidR="00BE174F" w:rsidRPr="00BE174F" w:rsidRDefault="00BE174F" w:rsidP="00BE174F">
      <w:pPr>
        <w:widowControl w:val="0"/>
        <w:autoSpaceDE w:val="0"/>
        <w:autoSpaceDN w:val="0"/>
        <w:adjustRightInd w:val="0"/>
        <w:rPr>
          <w:sz w:val="16"/>
          <w:lang w:val="fr-FR" w:eastAsia="fr-FR"/>
        </w:rPr>
      </w:pPr>
      <w:r w:rsidRPr="00BE174F">
        <w:rPr>
          <w:szCs w:val="23"/>
          <w:lang w:val="fr-FR"/>
        </w:rPr>
        <w:t xml:space="preserve">De </w:t>
      </w:r>
      <w:r w:rsidR="00A824EC" w:rsidRPr="00BE174F">
        <w:rPr>
          <w:szCs w:val="23"/>
          <w:lang w:val="fr-FR"/>
        </w:rPr>
        <w:t>par</w:t>
      </w:r>
      <w:r w:rsidRPr="00BE174F">
        <w:rPr>
          <w:szCs w:val="23"/>
          <w:lang w:val="fr-FR"/>
        </w:rPr>
        <w:t xml:space="preserve"> </w:t>
      </w:r>
      <w:r w:rsidR="00996C07">
        <w:rPr>
          <w:szCs w:val="23"/>
          <w:lang w:val="fr-FR"/>
        </w:rPr>
        <w:t>la</w:t>
      </w:r>
      <w:r w:rsidRPr="00BE174F">
        <w:rPr>
          <w:szCs w:val="23"/>
          <w:lang w:val="fr-FR"/>
        </w:rPr>
        <w:t xml:space="preserve"> dégrada</w:t>
      </w:r>
      <w:r w:rsidR="00205E0D">
        <w:rPr>
          <w:szCs w:val="23"/>
          <w:lang w:val="fr-FR"/>
        </w:rPr>
        <w:t>tion</w:t>
      </w:r>
      <w:r w:rsidRPr="00BE174F">
        <w:rPr>
          <w:szCs w:val="23"/>
          <w:lang w:val="fr-FR"/>
        </w:rPr>
        <w:t xml:space="preserve"> des composés organiques et le pouvoir de rétention de la matière organique, on pourrait penser que les transferts verticaux sont en théorie réduits.</w:t>
      </w:r>
      <w:r w:rsidR="00722AF3">
        <w:rPr>
          <w:szCs w:val="23"/>
          <w:lang w:val="fr-FR"/>
        </w:rPr>
        <w:t xml:space="preserve"> </w:t>
      </w:r>
    </w:p>
    <w:p w:rsidR="0031532A" w:rsidRPr="00BE174F" w:rsidRDefault="00BE174F" w:rsidP="00A824EC">
      <w:pPr>
        <w:widowControl w:val="0"/>
        <w:autoSpaceDE w:val="0"/>
        <w:autoSpaceDN w:val="0"/>
        <w:adjustRightInd w:val="0"/>
        <w:rPr>
          <w:szCs w:val="23"/>
          <w:lang w:val="fr-FR"/>
        </w:rPr>
      </w:pPr>
      <w:r w:rsidRPr="00BE174F">
        <w:rPr>
          <w:szCs w:val="23"/>
          <w:lang w:val="fr-FR"/>
        </w:rPr>
        <w:t>Néanmoins, le rôle des migrations colloïdales peut ne pas être négligeable dans certains sols (</w:t>
      </w:r>
      <w:proofErr w:type="spellStart"/>
      <w:r w:rsidRPr="00BE174F">
        <w:rPr>
          <w:szCs w:val="23"/>
          <w:lang w:val="fr-FR"/>
        </w:rPr>
        <w:t>luvisols</w:t>
      </w:r>
      <w:proofErr w:type="spellEnd"/>
      <w:r w:rsidRPr="00BE174F">
        <w:rPr>
          <w:szCs w:val="23"/>
          <w:lang w:val="fr-FR"/>
        </w:rPr>
        <w:t xml:space="preserve">, </w:t>
      </w:r>
      <w:proofErr w:type="spellStart"/>
      <w:r w:rsidRPr="00BE174F">
        <w:rPr>
          <w:szCs w:val="23"/>
          <w:lang w:val="fr-FR"/>
        </w:rPr>
        <w:t>podzosols</w:t>
      </w:r>
      <w:proofErr w:type="spellEnd"/>
      <w:r w:rsidRPr="00BE174F">
        <w:rPr>
          <w:szCs w:val="23"/>
          <w:lang w:val="fr-FR"/>
        </w:rPr>
        <w:t>). Les différents types de colloïdes (matières organiques, phyllosilicates, oxyhydroxydes) n’ayant pas le même potentiel de transfert des contaminants, il serait probable d’avoir des comportements de transfert variables selon la pédologie des sols. La présence de contaminants dans les eaux de surface ou en sortie de drains sur le site d’étude laisse supposer la présence de transferts verticaux sur ce site.</w:t>
      </w:r>
    </w:p>
    <w:p w:rsidR="0032387B" w:rsidRDefault="0032387B" w:rsidP="0032387B">
      <w:pPr>
        <w:rPr>
          <w:lang w:val="fr-FR"/>
        </w:rPr>
      </w:pPr>
      <w:r w:rsidRPr="0032387B">
        <w:rPr>
          <w:lang w:val="fr-FR"/>
        </w:rPr>
        <w:t xml:space="preserve">Dans un second temps, une campagne de prélèvement en profondeur (de 0 à 100 cm) a </w:t>
      </w:r>
      <w:r w:rsidR="00996C07">
        <w:rPr>
          <w:lang w:val="fr-FR"/>
        </w:rPr>
        <w:t xml:space="preserve">donc </w:t>
      </w:r>
      <w:r w:rsidRPr="0032387B">
        <w:rPr>
          <w:lang w:val="fr-FR"/>
        </w:rPr>
        <w:t>été réalisé</w:t>
      </w:r>
      <w:r w:rsidR="00996C07">
        <w:rPr>
          <w:lang w:val="fr-FR"/>
        </w:rPr>
        <w:t>e</w:t>
      </w:r>
      <w:r w:rsidRPr="0032387B">
        <w:rPr>
          <w:lang w:val="fr-FR"/>
        </w:rPr>
        <w:t xml:space="preserve"> sur des parcelles montrant des situations contrastées de par leur niveau de contamination et leur pédologie. Une chrono séquence sur 3 parcelles ayant la même typologie de sol mais un historique différent a également été choisie afin d’étudier l’impact de l’historique de l’usage sur le comportement des différents contaminants.</w:t>
      </w:r>
    </w:p>
    <w:p w:rsidR="0032387B" w:rsidRDefault="0032387B" w:rsidP="0032387B">
      <w:pPr>
        <w:rPr>
          <w:szCs w:val="23"/>
          <w:lang w:val="fr-FR"/>
        </w:rPr>
      </w:pPr>
      <w:r w:rsidRPr="0032387B">
        <w:rPr>
          <w:szCs w:val="23"/>
          <w:lang w:val="fr-FR"/>
        </w:rPr>
        <w:t>Les profils ont été effectués à la tarière mécanique sur 1 mètre. Une stratification prédéfinie a ensuite été réalisée. Chaque carotte a été découpé</w:t>
      </w:r>
      <w:r w:rsidR="00722AF3">
        <w:rPr>
          <w:szCs w:val="23"/>
          <w:lang w:val="fr-FR"/>
        </w:rPr>
        <w:t>e</w:t>
      </w:r>
      <w:r w:rsidRPr="0032387B">
        <w:rPr>
          <w:szCs w:val="23"/>
          <w:lang w:val="fr-FR"/>
        </w:rPr>
        <w:t xml:space="preserve"> </w:t>
      </w:r>
      <w:r w:rsidR="00205E0D">
        <w:rPr>
          <w:szCs w:val="23"/>
          <w:lang w:val="fr-FR"/>
        </w:rPr>
        <w:t>tous les 15 cm et chaque strate</w:t>
      </w:r>
      <w:r w:rsidRPr="0032387B">
        <w:rPr>
          <w:szCs w:val="23"/>
          <w:lang w:val="fr-FR"/>
        </w:rPr>
        <w:t xml:space="preserve"> a ensuite été analysé</w:t>
      </w:r>
      <w:r w:rsidR="00722AF3">
        <w:rPr>
          <w:szCs w:val="23"/>
          <w:lang w:val="fr-FR"/>
        </w:rPr>
        <w:t>e</w:t>
      </w:r>
      <w:r w:rsidRPr="0032387B">
        <w:rPr>
          <w:szCs w:val="23"/>
          <w:lang w:val="fr-FR"/>
        </w:rPr>
        <w:t>. Pour l’instant, uniquement l</w:t>
      </w:r>
      <w:r w:rsidR="00205E0D">
        <w:rPr>
          <w:szCs w:val="23"/>
          <w:lang w:val="fr-FR"/>
        </w:rPr>
        <w:t xml:space="preserve">e dosage du cuivre a été </w:t>
      </w:r>
      <w:r w:rsidR="00722AF3">
        <w:rPr>
          <w:szCs w:val="23"/>
          <w:lang w:val="fr-FR"/>
        </w:rPr>
        <w:t xml:space="preserve">effectué </w:t>
      </w:r>
      <w:r w:rsidR="00205E0D">
        <w:rPr>
          <w:szCs w:val="23"/>
          <w:lang w:val="fr-FR"/>
        </w:rPr>
        <w:t>afin de mettre en avant des profils présentant des comportements différents.</w:t>
      </w:r>
      <w:r w:rsidRPr="0032387B">
        <w:rPr>
          <w:szCs w:val="23"/>
          <w:lang w:val="fr-FR"/>
        </w:rPr>
        <w:t xml:space="preserve"> Les contaminants </w:t>
      </w:r>
      <w:r w:rsidR="00205E0D">
        <w:rPr>
          <w:szCs w:val="23"/>
          <w:lang w:val="fr-FR"/>
        </w:rPr>
        <w:t>organiques seront prochainement étudiés dans ces profils.</w:t>
      </w:r>
    </w:p>
    <w:p w:rsidR="002C39B0" w:rsidRDefault="00205E0D" w:rsidP="00A34E17">
      <w:pPr>
        <w:spacing w:after="240"/>
        <w:rPr>
          <w:szCs w:val="23"/>
          <w:lang w:val="fr-FR"/>
        </w:rPr>
      </w:pPr>
      <w:r>
        <w:rPr>
          <w:szCs w:val="23"/>
          <w:lang w:val="fr-FR"/>
        </w:rPr>
        <w:t xml:space="preserve">Les résultats de cuivre montrent qu’il </w:t>
      </w:r>
      <w:r w:rsidR="00996C07">
        <w:rPr>
          <w:szCs w:val="23"/>
          <w:lang w:val="fr-FR"/>
        </w:rPr>
        <w:t>semble y avoir</w:t>
      </w:r>
      <w:r>
        <w:rPr>
          <w:szCs w:val="23"/>
          <w:lang w:val="fr-FR"/>
        </w:rPr>
        <w:t xml:space="preserve"> globalement peu de migration en profondeur de cet élément trace. En revanche, un effet du labour sur 45 cm lors de la replantation de vignes peut entrainer le cuivre en profondeur par inversement des horizons. Il a également été observé </w:t>
      </w:r>
      <w:r w:rsidR="00635D0E">
        <w:rPr>
          <w:szCs w:val="23"/>
          <w:lang w:val="fr-FR"/>
        </w:rPr>
        <w:t xml:space="preserve">dans certains cas, </w:t>
      </w:r>
      <w:r>
        <w:rPr>
          <w:szCs w:val="23"/>
          <w:lang w:val="fr-FR"/>
        </w:rPr>
        <w:t>un</w:t>
      </w:r>
      <w:r w:rsidR="003041C5">
        <w:rPr>
          <w:szCs w:val="23"/>
          <w:lang w:val="fr-FR"/>
        </w:rPr>
        <w:t>e aug</w:t>
      </w:r>
      <w:r w:rsidR="00635D0E">
        <w:rPr>
          <w:szCs w:val="23"/>
          <w:lang w:val="fr-FR"/>
        </w:rPr>
        <w:t>m</w:t>
      </w:r>
      <w:r w:rsidR="003041C5">
        <w:rPr>
          <w:szCs w:val="23"/>
          <w:lang w:val="fr-FR"/>
        </w:rPr>
        <w:t>entation</w:t>
      </w:r>
      <w:r w:rsidR="00635D0E">
        <w:rPr>
          <w:szCs w:val="23"/>
          <w:lang w:val="fr-FR"/>
        </w:rPr>
        <w:t xml:space="preserve"> importante</w:t>
      </w:r>
      <w:r w:rsidR="003041C5">
        <w:rPr>
          <w:szCs w:val="23"/>
          <w:lang w:val="fr-FR"/>
        </w:rPr>
        <w:t xml:space="preserve"> de cuivre en surface en bas de parcelle par rapport au </w:t>
      </w:r>
      <w:r w:rsidR="00635D0E">
        <w:rPr>
          <w:szCs w:val="23"/>
          <w:lang w:val="fr-FR"/>
        </w:rPr>
        <w:t xml:space="preserve">point réalisé en </w:t>
      </w:r>
      <w:r w:rsidR="003041C5">
        <w:rPr>
          <w:szCs w:val="23"/>
          <w:lang w:val="fr-FR"/>
        </w:rPr>
        <w:t xml:space="preserve">haut de parcelle. Cela </w:t>
      </w:r>
      <w:r w:rsidR="00635D0E">
        <w:rPr>
          <w:szCs w:val="23"/>
          <w:lang w:val="fr-FR"/>
        </w:rPr>
        <w:t>peut nous conduire à l’hypothèse d’un</w:t>
      </w:r>
      <w:r>
        <w:rPr>
          <w:szCs w:val="23"/>
          <w:lang w:val="fr-FR"/>
        </w:rPr>
        <w:t xml:space="preserve"> ruissellement important sur certaines parcelles</w:t>
      </w:r>
      <w:r w:rsidR="00635D0E">
        <w:rPr>
          <w:szCs w:val="23"/>
          <w:lang w:val="fr-FR"/>
        </w:rPr>
        <w:t>,</w:t>
      </w:r>
      <w:r>
        <w:rPr>
          <w:szCs w:val="23"/>
          <w:lang w:val="fr-FR"/>
        </w:rPr>
        <w:t xml:space="preserve"> lié à la pente de celles-ci. </w:t>
      </w:r>
      <w:r w:rsidR="002C39B0">
        <w:rPr>
          <w:szCs w:val="23"/>
          <w:lang w:val="fr-FR"/>
        </w:rPr>
        <w:t xml:space="preserve">Concernant </w:t>
      </w:r>
      <w:proofErr w:type="gramStart"/>
      <w:r w:rsidR="002C39B0">
        <w:rPr>
          <w:szCs w:val="23"/>
          <w:lang w:val="fr-FR"/>
        </w:rPr>
        <w:t>la chrono</w:t>
      </w:r>
      <w:proofErr w:type="gramEnd"/>
      <w:r w:rsidR="002C39B0">
        <w:rPr>
          <w:szCs w:val="23"/>
          <w:lang w:val="fr-FR"/>
        </w:rPr>
        <w:t xml:space="preserve"> séquence, une augmentation importante de cuivre en surface due à l’usage historique est à noter avec une migration jusqu’à la couche 45-60 cm</w:t>
      </w:r>
      <w:r w:rsidR="000F7EFA">
        <w:rPr>
          <w:szCs w:val="23"/>
          <w:lang w:val="fr-FR"/>
        </w:rPr>
        <w:t xml:space="preserve"> pour la parcelle la plus ancienne.</w:t>
      </w:r>
    </w:p>
    <w:p w:rsidR="00C130A0" w:rsidRDefault="00635D0E" w:rsidP="00C130A0">
      <w:pPr>
        <w:jc w:val="center"/>
        <w:rPr>
          <w:szCs w:val="23"/>
          <w:lang w:val="fr-FR"/>
        </w:rPr>
      </w:pPr>
      <w:r>
        <w:rPr>
          <w:noProof/>
          <w:szCs w:val="23"/>
          <w:lang w:val="fr-FR" w:eastAsia="fr-FR"/>
        </w:rPr>
        <w:drawing>
          <wp:inline distT="0" distB="0" distL="0" distR="0">
            <wp:extent cx="2328545" cy="2147570"/>
            <wp:effectExtent l="0" t="0" r="0" b="0"/>
            <wp:docPr id="2" name="Image 2" descr="profil-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ofil-C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28545" cy="2147570"/>
                    </a:xfrm>
                    <a:prstGeom prst="rect">
                      <a:avLst/>
                    </a:prstGeom>
                    <a:noFill/>
                    <a:ln>
                      <a:noFill/>
                    </a:ln>
                  </pic:spPr>
                </pic:pic>
              </a:graphicData>
            </a:graphic>
          </wp:inline>
        </w:drawing>
      </w:r>
      <w:r>
        <w:rPr>
          <w:noProof/>
          <w:szCs w:val="23"/>
          <w:lang w:val="fr-FR" w:eastAsia="fr-FR"/>
        </w:rPr>
        <w:drawing>
          <wp:inline distT="0" distB="0" distL="0" distR="0">
            <wp:extent cx="2243455" cy="2137410"/>
            <wp:effectExtent l="0" t="0" r="0" b="0"/>
            <wp:docPr id="3" name="Image 3" descr="profils-crhonoséquen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rofils-crhonoséquences"/>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43455" cy="2137410"/>
                    </a:xfrm>
                    <a:prstGeom prst="rect">
                      <a:avLst/>
                    </a:prstGeom>
                    <a:noFill/>
                    <a:ln>
                      <a:noFill/>
                    </a:ln>
                  </pic:spPr>
                </pic:pic>
              </a:graphicData>
            </a:graphic>
          </wp:inline>
        </w:drawing>
      </w:r>
    </w:p>
    <w:p w:rsidR="00C130A0" w:rsidRPr="0032387B" w:rsidRDefault="00C130A0" w:rsidP="00A34E17">
      <w:pPr>
        <w:spacing w:after="240"/>
        <w:jc w:val="center"/>
        <w:rPr>
          <w:szCs w:val="23"/>
          <w:lang w:val="fr-FR"/>
        </w:rPr>
      </w:pPr>
      <w:r w:rsidRPr="00473147">
        <w:rPr>
          <w:szCs w:val="23"/>
          <w:u w:val="single"/>
          <w:lang w:val="fr-FR"/>
        </w:rPr>
        <w:t>Figures 2 et 3 :</w:t>
      </w:r>
      <w:r>
        <w:rPr>
          <w:szCs w:val="23"/>
          <w:lang w:val="fr-FR"/>
        </w:rPr>
        <w:t xml:space="preserve"> </w:t>
      </w:r>
      <w:r w:rsidR="00473147">
        <w:rPr>
          <w:szCs w:val="23"/>
          <w:lang w:val="fr-FR"/>
        </w:rPr>
        <w:t xml:space="preserve">Profils de la contamination en profondeur en cuivre de parcelles viticoles </w:t>
      </w:r>
    </w:p>
    <w:p w:rsidR="0032387B" w:rsidRDefault="0032387B" w:rsidP="0032387B">
      <w:pPr>
        <w:pStyle w:val="Default"/>
        <w:jc w:val="both"/>
        <w:rPr>
          <w:rFonts w:ascii="Times New Roman" w:hAnsi="Times New Roman" w:cs="Times New Roman"/>
          <w:sz w:val="20"/>
          <w:szCs w:val="20"/>
        </w:rPr>
      </w:pPr>
      <w:r w:rsidRPr="0032387B">
        <w:rPr>
          <w:rFonts w:ascii="Times New Roman" w:hAnsi="Times New Roman" w:cs="Times New Roman"/>
          <w:sz w:val="20"/>
          <w:szCs w:val="20"/>
        </w:rPr>
        <w:lastRenderedPageBreak/>
        <w:t xml:space="preserve">L’interprétation </w:t>
      </w:r>
      <w:r w:rsidR="00205E0D">
        <w:rPr>
          <w:rFonts w:ascii="Times New Roman" w:hAnsi="Times New Roman" w:cs="Times New Roman"/>
          <w:sz w:val="20"/>
          <w:szCs w:val="20"/>
        </w:rPr>
        <w:t xml:space="preserve">plus approfondie </w:t>
      </w:r>
      <w:r w:rsidRPr="0032387B">
        <w:rPr>
          <w:rFonts w:ascii="Times New Roman" w:hAnsi="Times New Roman" w:cs="Times New Roman"/>
          <w:sz w:val="20"/>
          <w:szCs w:val="20"/>
        </w:rPr>
        <w:t xml:space="preserve">de ces </w:t>
      </w:r>
      <w:r w:rsidR="00485620">
        <w:rPr>
          <w:rFonts w:ascii="Times New Roman" w:hAnsi="Times New Roman" w:cs="Times New Roman"/>
          <w:sz w:val="20"/>
          <w:szCs w:val="20"/>
        </w:rPr>
        <w:t xml:space="preserve">résultats complétés </w:t>
      </w:r>
      <w:r w:rsidR="00996C07">
        <w:rPr>
          <w:rFonts w:ascii="Times New Roman" w:hAnsi="Times New Roman" w:cs="Times New Roman"/>
          <w:sz w:val="20"/>
          <w:szCs w:val="20"/>
        </w:rPr>
        <w:t>avec les résultats d’</w:t>
      </w:r>
      <w:r w:rsidR="00485620">
        <w:rPr>
          <w:rFonts w:ascii="Times New Roman" w:hAnsi="Times New Roman" w:cs="Times New Roman"/>
          <w:sz w:val="20"/>
          <w:szCs w:val="20"/>
        </w:rPr>
        <w:t xml:space="preserve">extractions sélectives </w:t>
      </w:r>
      <w:r w:rsidRPr="0032387B">
        <w:rPr>
          <w:rFonts w:ascii="Times New Roman" w:hAnsi="Times New Roman" w:cs="Times New Roman"/>
          <w:sz w:val="20"/>
          <w:szCs w:val="20"/>
        </w:rPr>
        <w:t xml:space="preserve">permettra </w:t>
      </w:r>
      <w:r w:rsidR="00205E0D">
        <w:rPr>
          <w:rFonts w:ascii="Times New Roman" w:hAnsi="Times New Roman" w:cs="Times New Roman"/>
          <w:sz w:val="20"/>
          <w:szCs w:val="20"/>
        </w:rPr>
        <w:t xml:space="preserve">de </w:t>
      </w:r>
      <w:r w:rsidR="00722AF3">
        <w:rPr>
          <w:rFonts w:ascii="Times New Roman" w:hAnsi="Times New Roman" w:cs="Times New Roman"/>
          <w:sz w:val="20"/>
          <w:szCs w:val="20"/>
        </w:rPr>
        <w:t>montrer</w:t>
      </w:r>
      <w:r w:rsidR="00456BED">
        <w:rPr>
          <w:rFonts w:ascii="Times New Roman" w:hAnsi="Times New Roman" w:cs="Times New Roman"/>
          <w:sz w:val="20"/>
          <w:szCs w:val="20"/>
        </w:rPr>
        <w:t xml:space="preserve"> </w:t>
      </w:r>
      <w:r w:rsidR="00635D0E">
        <w:rPr>
          <w:rFonts w:ascii="Times New Roman" w:hAnsi="Times New Roman" w:cs="Times New Roman"/>
          <w:sz w:val="20"/>
          <w:szCs w:val="20"/>
        </w:rPr>
        <w:t xml:space="preserve">quelles sont </w:t>
      </w:r>
      <w:r w:rsidR="00456BED">
        <w:rPr>
          <w:rFonts w:ascii="Times New Roman" w:hAnsi="Times New Roman" w:cs="Times New Roman"/>
          <w:sz w:val="20"/>
          <w:szCs w:val="20"/>
        </w:rPr>
        <w:t>les phases réactives préférentielles de fixation du cuivre dans les sols et ainsi</w:t>
      </w:r>
      <w:r w:rsidR="00635D0E">
        <w:rPr>
          <w:rFonts w:ascii="Times New Roman" w:hAnsi="Times New Roman" w:cs="Times New Roman"/>
          <w:sz w:val="20"/>
          <w:szCs w:val="20"/>
        </w:rPr>
        <w:t xml:space="preserve"> émettre l’hypothèse d’</w:t>
      </w:r>
      <w:r w:rsidR="00722AF3">
        <w:rPr>
          <w:rFonts w:ascii="Times New Roman" w:hAnsi="Times New Roman" w:cs="Times New Roman"/>
          <w:sz w:val="20"/>
          <w:szCs w:val="20"/>
        </w:rPr>
        <w:t xml:space="preserve">un éventuel </w:t>
      </w:r>
      <w:r w:rsidR="00205E0D">
        <w:rPr>
          <w:rFonts w:ascii="Times New Roman" w:hAnsi="Times New Roman" w:cs="Times New Roman"/>
          <w:sz w:val="20"/>
          <w:szCs w:val="20"/>
        </w:rPr>
        <w:t>effet de la pédologie sur ces transferts verticaux.</w:t>
      </w:r>
      <w:r w:rsidRPr="0032387B">
        <w:rPr>
          <w:rFonts w:ascii="Times New Roman" w:hAnsi="Times New Roman" w:cs="Times New Roman"/>
          <w:sz w:val="20"/>
          <w:szCs w:val="20"/>
        </w:rPr>
        <w:t xml:space="preserve"> </w:t>
      </w:r>
    </w:p>
    <w:p w:rsidR="00485620" w:rsidRDefault="00205E0D" w:rsidP="00A34E17">
      <w:pPr>
        <w:spacing w:after="240"/>
        <w:rPr>
          <w:szCs w:val="24"/>
          <w:lang w:val="fr-FR"/>
        </w:rPr>
      </w:pPr>
      <w:r w:rsidRPr="00205E0D">
        <w:rPr>
          <w:szCs w:val="24"/>
          <w:lang w:val="fr-FR"/>
        </w:rPr>
        <w:t xml:space="preserve">Certaines parcelles étant drainées jusqu’à 60 cm, le suivi des eaux de ces drains a été mis en place afin de voir les transferts verticaux sur l’année de culture. </w:t>
      </w:r>
      <w:r w:rsidR="00485620">
        <w:rPr>
          <w:szCs w:val="24"/>
          <w:lang w:val="fr-FR"/>
        </w:rPr>
        <w:t>Des</w:t>
      </w:r>
      <w:r w:rsidRPr="00205E0D">
        <w:rPr>
          <w:szCs w:val="24"/>
          <w:lang w:val="fr-FR"/>
        </w:rPr>
        <w:t xml:space="preserve"> boîtes récupératrices d’eau de drain </w:t>
      </w:r>
      <w:r w:rsidR="00485620">
        <w:rPr>
          <w:szCs w:val="24"/>
          <w:lang w:val="fr-FR"/>
        </w:rPr>
        <w:t>ont donc été mise</w:t>
      </w:r>
      <w:r w:rsidR="00722AF3">
        <w:rPr>
          <w:szCs w:val="24"/>
          <w:lang w:val="fr-FR"/>
        </w:rPr>
        <w:t>s</w:t>
      </w:r>
      <w:r w:rsidR="00485620">
        <w:rPr>
          <w:szCs w:val="24"/>
          <w:lang w:val="fr-FR"/>
        </w:rPr>
        <w:t xml:space="preserve"> en place. D</w:t>
      </w:r>
      <w:r w:rsidRPr="00205E0D">
        <w:rPr>
          <w:szCs w:val="24"/>
          <w:lang w:val="fr-FR"/>
        </w:rPr>
        <w:t xml:space="preserve">es échantillonneurs passifs de type DGT pour les métaux et de type POCIS pour les </w:t>
      </w:r>
      <w:r w:rsidR="00722AF3">
        <w:rPr>
          <w:szCs w:val="24"/>
          <w:lang w:val="fr-FR"/>
        </w:rPr>
        <w:t xml:space="preserve">composés </w:t>
      </w:r>
      <w:r w:rsidRPr="00205E0D">
        <w:rPr>
          <w:szCs w:val="24"/>
          <w:lang w:val="fr-FR"/>
        </w:rPr>
        <w:t xml:space="preserve">organiques </w:t>
      </w:r>
      <w:r w:rsidR="00485620">
        <w:rPr>
          <w:szCs w:val="24"/>
          <w:lang w:val="fr-FR"/>
        </w:rPr>
        <w:t xml:space="preserve">y </w:t>
      </w:r>
      <w:r w:rsidR="00722AF3">
        <w:rPr>
          <w:szCs w:val="24"/>
          <w:lang w:val="fr-FR"/>
        </w:rPr>
        <w:t xml:space="preserve">sont </w:t>
      </w:r>
      <w:r w:rsidR="00485620">
        <w:rPr>
          <w:szCs w:val="24"/>
          <w:lang w:val="fr-FR"/>
        </w:rPr>
        <w:t xml:space="preserve">déployés </w:t>
      </w:r>
      <w:r w:rsidRPr="00205E0D">
        <w:rPr>
          <w:szCs w:val="24"/>
          <w:lang w:val="fr-FR"/>
        </w:rPr>
        <w:t>dès qu’une forte période de plu</w:t>
      </w:r>
      <w:r w:rsidR="00485620">
        <w:rPr>
          <w:szCs w:val="24"/>
          <w:lang w:val="fr-FR"/>
        </w:rPr>
        <w:t>ie permet</w:t>
      </w:r>
      <w:r w:rsidR="00456BED">
        <w:rPr>
          <w:szCs w:val="24"/>
          <w:lang w:val="fr-FR"/>
        </w:rPr>
        <w:t xml:space="preserve"> </w:t>
      </w:r>
      <w:r w:rsidR="00485620">
        <w:rPr>
          <w:szCs w:val="24"/>
          <w:lang w:val="fr-FR"/>
        </w:rPr>
        <w:t>l’écoulement d’eau afin de calculer les flux des différents contaminants dans ces eaux.</w:t>
      </w:r>
    </w:p>
    <w:p w:rsidR="0031532A" w:rsidRPr="00A34E17" w:rsidRDefault="00485620" w:rsidP="00A34E17">
      <w:pPr>
        <w:spacing w:after="240"/>
        <w:rPr>
          <w:szCs w:val="24"/>
          <w:lang w:val="fr-FR"/>
        </w:rPr>
      </w:pPr>
      <w:r>
        <w:rPr>
          <w:szCs w:val="24"/>
          <w:lang w:val="fr-FR"/>
        </w:rPr>
        <w:t xml:space="preserve">En perspective, un suivi de disponibilité des contaminants organiques et inorganiques sur l’horizon 0-15 cm de 4 parcelles sur l’année de culture a débuté. Des bougies poreuses permettent de récupérer la solution de sol tous les 15 jours si les conditions d’humidité le permettent. En parallèle, des DGT sont déposées dans les sols. </w:t>
      </w:r>
    </w:p>
    <w:p w:rsidR="00B925CF" w:rsidRPr="00703992" w:rsidRDefault="00E922A0" w:rsidP="00D93BE2">
      <w:pPr>
        <w:pStyle w:val="GFP2012adresse"/>
        <w:rPr>
          <w:lang w:val="fr-FR"/>
        </w:rPr>
      </w:pPr>
      <w:r w:rsidRPr="0001765D">
        <w:rPr>
          <w:lang w:val="fr-FR"/>
        </w:rPr>
        <w:t>Mots-clés</w:t>
      </w:r>
      <w:r w:rsidR="000413D6">
        <w:rPr>
          <w:lang w:val="fr-FR"/>
        </w:rPr>
        <w:t> :</w:t>
      </w:r>
      <w:r w:rsidR="000413D6" w:rsidRPr="000413D6">
        <w:rPr>
          <w:color w:val="0000FF"/>
          <w:lang w:val="fr-FR"/>
        </w:rPr>
        <w:t xml:space="preserve"> </w:t>
      </w:r>
      <w:r w:rsidR="00703992" w:rsidRPr="00703992">
        <w:rPr>
          <w:lang w:val="fr-FR" w:eastAsia="fr-FR"/>
        </w:rPr>
        <w:t>Pesticides ; cuivre ; sols ; disponibilité</w:t>
      </w:r>
      <w:r w:rsidR="00703992" w:rsidRPr="00703992">
        <w:rPr>
          <w:rFonts w:ascii="Arial" w:hAnsi="Arial" w:cs="Arial"/>
          <w:lang w:val="fr-FR" w:eastAsia="fr-FR"/>
        </w:rPr>
        <w:t> </w:t>
      </w:r>
    </w:p>
    <w:p w:rsidR="00D93BE2" w:rsidRDefault="00D93BE2" w:rsidP="00E922A0">
      <w:pPr>
        <w:pStyle w:val="GFP2012motscles"/>
        <w:rPr>
          <w:lang w:val="fr-FR"/>
        </w:rPr>
      </w:pPr>
    </w:p>
    <w:p w:rsidR="00D93BE2" w:rsidRDefault="00D93BE2" w:rsidP="00E922A0">
      <w:pPr>
        <w:pStyle w:val="GFP2012motscles"/>
        <w:rPr>
          <w:lang w:val="fr-FR"/>
        </w:rPr>
      </w:pPr>
    </w:p>
    <w:sectPr w:rsidR="00D93BE2" w:rsidSect="004C54D5">
      <w:headerReference w:type="even" r:id="rId10"/>
      <w:headerReference w:type="default" r:id="rId11"/>
      <w:footerReference w:type="default" r:id="rId12"/>
      <w:pgSz w:w="11907" w:h="16840" w:code="9"/>
      <w:pgMar w:top="1701" w:right="1701" w:bottom="1701" w:left="1701"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AE0" w:rsidRDefault="00647AE0">
      <w:r>
        <w:separator/>
      </w:r>
    </w:p>
  </w:endnote>
  <w:endnote w:type="continuationSeparator" w:id="0">
    <w:p w:rsidR="00647AE0" w:rsidRDefault="0064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G Omega (W1)">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742" w:rsidRPr="003E1780" w:rsidRDefault="00D71742" w:rsidP="009D7068">
    <w:pPr>
      <w:pStyle w:val="Pieddepage"/>
      <w:tabs>
        <w:tab w:val="clear" w:pos="4536"/>
        <w:tab w:val="clear" w:pos="9072"/>
        <w:tab w:val="center" w:pos="0"/>
        <w:tab w:val="left" w:pos="8080"/>
      </w:tabs>
      <w:rPr>
        <w:lang w:val="fr-FR"/>
      </w:rPr>
    </w:pPr>
    <w:r w:rsidRPr="003E1780">
      <w:rPr>
        <w:lang w:val="fr-FR"/>
      </w:rPr>
      <w:tab/>
    </w:r>
    <w:r w:rsidRPr="003E1780">
      <w:rPr>
        <w:rStyle w:val="Numrodepage"/>
        <w:lang w:val="fr-FR"/>
      </w:rPr>
      <w:tab/>
    </w:r>
    <w:r w:rsidRPr="003E1780">
      <w:rPr>
        <w:lang w:val="fr-FR"/>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AE0" w:rsidRDefault="00647AE0">
      <w:r>
        <w:separator/>
      </w:r>
    </w:p>
  </w:footnote>
  <w:footnote w:type="continuationSeparator" w:id="0">
    <w:p w:rsidR="00647AE0" w:rsidRDefault="00647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742" w:rsidRPr="0080029E" w:rsidRDefault="00D71742" w:rsidP="0080029E">
    <w:pPr>
      <w:autoSpaceDE w:val="0"/>
      <w:autoSpaceDN w:val="0"/>
      <w:adjustRightInd w:val="0"/>
      <w:spacing w:line="240" w:lineRule="auto"/>
      <w:jc w:val="right"/>
      <w:rPr>
        <w:i/>
        <w:kern w:val="0"/>
        <w:sz w:val="18"/>
        <w:szCs w:val="18"/>
        <w:lang w:val="fr-FR" w:eastAsia="fr-FR"/>
      </w:rPr>
    </w:pPr>
    <w:r w:rsidRPr="0080029E">
      <w:rPr>
        <w:i/>
        <w:kern w:val="0"/>
        <w:sz w:val="18"/>
        <w:szCs w:val="18"/>
        <w:lang w:val="fr-FR" w:eastAsia="fr-FR"/>
      </w:rPr>
      <w:t>Récents Progrès en Génie des Procédés, Numéro 92 - 2005</w:t>
    </w:r>
  </w:p>
  <w:p w:rsidR="00D71742" w:rsidRPr="0080029E" w:rsidRDefault="00D71742" w:rsidP="0080029E">
    <w:pPr>
      <w:autoSpaceDE w:val="0"/>
      <w:autoSpaceDN w:val="0"/>
      <w:adjustRightInd w:val="0"/>
      <w:spacing w:line="240" w:lineRule="auto"/>
      <w:jc w:val="right"/>
      <w:rPr>
        <w:i/>
        <w:kern w:val="0"/>
        <w:sz w:val="18"/>
        <w:szCs w:val="18"/>
        <w:lang w:val="fr-FR" w:eastAsia="fr-FR"/>
      </w:rPr>
    </w:pPr>
    <w:r w:rsidRPr="0080029E">
      <w:rPr>
        <w:i/>
        <w:kern w:val="0"/>
        <w:sz w:val="18"/>
        <w:szCs w:val="18"/>
        <w:lang w:val="fr-FR" w:eastAsia="fr-FR"/>
      </w:rPr>
      <w:t>ISBN 2-910239-66-7, Ed. Lavoisier, Paris, France</w:t>
    </w:r>
  </w:p>
  <w:p w:rsidR="00D71742" w:rsidRDefault="00D71742">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1742" w:rsidRPr="003F5268" w:rsidRDefault="00A637C0" w:rsidP="0059001E">
    <w:pPr>
      <w:pBdr>
        <w:bottom w:val="single" w:sz="4" w:space="1" w:color="auto"/>
      </w:pBdr>
      <w:autoSpaceDE w:val="0"/>
      <w:autoSpaceDN w:val="0"/>
      <w:adjustRightInd w:val="0"/>
      <w:spacing w:line="240" w:lineRule="auto"/>
      <w:jc w:val="right"/>
      <w:rPr>
        <w:i/>
        <w:kern w:val="0"/>
        <w:sz w:val="18"/>
        <w:szCs w:val="18"/>
        <w:lang w:val="fr-FR" w:eastAsia="fr-FR"/>
      </w:rPr>
    </w:pPr>
    <w:r>
      <w:rPr>
        <w:i/>
        <w:kern w:val="0"/>
        <w:sz w:val="18"/>
        <w:szCs w:val="18"/>
        <w:lang w:val="fr-FR" w:eastAsia="fr-FR"/>
      </w:rPr>
      <w:t xml:space="preserve"> 4</w:t>
    </w:r>
    <w:r w:rsidR="000422B6">
      <w:rPr>
        <w:i/>
        <w:kern w:val="0"/>
        <w:sz w:val="18"/>
        <w:szCs w:val="18"/>
        <w:lang w:val="fr-FR" w:eastAsia="fr-FR"/>
      </w:rPr>
      <w:t>8</w:t>
    </w:r>
    <w:r w:rsidR="00D71742">
      <w:rPr>
        <w:i/>
        <w:kern w:val="0"/>
        <w:sz w:val="18"/>
        <w:szCs w:val="18"/>
        <w:vertAlign w:val="superscript"/>
        <w:lang w:val="fr-FR" w:eastAsia="fr-FR"/>
      </w:rPr>
      <w:t>e</w:t>
    </w:r>
    <w:r w:rsidR="000422B6">
      <w:rPr>
        <w:i/>
        <w:kern w:val="0"/>
        <w:sz w:val="18"/>
        <w:szCs w:val="18"/>
        <w:vertAlign w:val="superscript"/>
        <w:lang w:val="fr-FR" w:eastAsia="fr-FR"/>
      </w:rPr>
      <w:t>me</w:t>
    </w:r>
    <w:r w:rsidR="00D71742">
      <w:rPr>
        <w:i/>
        <w:kern w:val="0"/>
        <w:sz w:val="18"/>
        <w:szCs w:val="18"/>
        <w:lang w:val="fr-FR" w:eastAsia="fr-FR"/>
      </w:rPr>
      <w:t xml:space="preserve"> congrès du Gr</w:t>
    </w:r>
    <w:r w:rsidR="007B24CF">
      <w:rPr>
        <w:i/>
        <w:kern w:val="0"/>
        <w:sz w:val="18"/>
        <w:szCs w:val="18"/>
        <w:lang w:val="fr-FR" w:eastAsia="fr-FR"/>
      </w:rPr>
      <w:t xml:space="preserve">oupe Français des </w:t>
    </w:r>
    <w:r w:rsidR="000422B6">
      <w:rPr>
        <w:i/>
        <w:kern w:val="0"/>
        <w:sz w:val="18"/>
        <w:szCs w:val="18"/>
        <w:lang w:val="fr-FR" w:eastAsia="fr-FR"/>
      </w:rPr>
      <w:t>Pesticides, 30 mai</w:t>
    </w:r>
    <w:r>
      <w:rPr>
        <w:i/>
        <w:kern w:val="0"/>
        <w:sz w:val="18"/>
        <w:szCs w:val="18"/>
        <w:lang w:val="fr-FR" w:eastAsia="fr-FR"/>
      </w:rPr>
      <w:t>-</w:t>
    </w:r>
    <w:r w:rsidR="000422B6">
      <w:rPr>
        <w:i/>
        <w:kern w:val="0"/>
        <w:sz w:val="18"/>
        <w:szCs w:val="18"/>
        <w:lang w:val="fr-FR" w:eastAsia="fr-FR"/>
      </w:rPr>
      <w:t>1</w:t>
    </w:r>
    <w:r w:rsidR="000422B6" w:rsidRPr="000422B6">
      <w:rPr>
        <w:i/>
        <w:kern w:val="0"/>
        <w:sz w:val="18"/>
        <w:szCs w:val="18"/>
        <w:vertAlign w:val="superscript"/>
        <w:lang w:val="fr-FR" w:eastAsia="fr-FR"/>
      </w:rPr>
      <w:t>er</w:t>
    </w:r>
    <w:r w:rsidR="000422B6">
      <w:rPr>
        <w:i/>
        <w:kern w:val="0"/>
        <w:sz w:val="18"/>
        <w:szCs w:val="18"/>
        <w:lang w:val="fr-FR" w:eastAsia="fr-FR"/>
      </w:rPr>
      <w:t xml:space="preserve"> juin</w:t>
    </w:r>
    <w:r w:rsidR="00D71742">
      <w:rPr>
        <w:i/>
        <w:kern w:val="0"/>
        <w:sz w:val="18"/>
        <w:szCs w:val="18"/>
        <w:lang w:val="fr-FR" w:eastAsia="fr-FR"/>
      </w:rPr>
      <w:t xml:space="preserve"> 201</w:t>
    </w:r>
    <w:r w:rsidR="000422B6">
      <w:rPr>
        <w:i/>
        <w:kern w:val="0"/>
        <w:sz w:val="18"/>
        <w:szCs w:val="18"/>
        <w:lang w:val="fr-FR" w:eastAsia="fr-FR"/>
      </w:rPr>
      <w:t>8</w:t>
    </w:r>
    <w:r w:rsidR="00D71742">
      <w:rPr>
        <w:i/>
        <w:kern w:val="0"/>
        <w:sz w:val="18"/>
        <w:szCs w:val="18"/>
        <w:lang w:val="fr-FR" w:eastAsia="fr-FR"/>
      </w:rPr>
      <w:t xml:space="preserve">, </w:t>
    </w:r>
    <w:r w:rsidR="000422B6">
      <w:rPr>
        <w:i/>
        <w:kern w:val="0"/>
        <w:sz w:val="18"/>
        <w:szCs w:val="18"/>
        <w:lang w:val="fr-FR" w:eastAsia="fr-FR"/>
      </w:rPr>
      <w:t>LIMOGES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ED06F8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1C1E93"/>
    <w:multiLevelType w:val="singleLevel"/>
    <w:tmpl w:val="4ABEE292"/>
    <w:lvl w:ilvl="0">
      <w:start w:val="1"/>
      <w:numFmt w:val="decimal"/>
      <w:pStyle w:val="NumberedList"/>
      <w:lvlText w:val="%1."/>
      <w:lvlJc w:val="left"/>
      <w:pPr>
        <w:tabs>
          <w:tab w:val="num" w:pos="360"/>
        </w:tabs>
        <w:ind w:left="360" w:hanging="360"/>
      </w:pPr>
    </w:lvl>
  </w:abstractNum>
  <w:abstractNum w:abstractNumId="3" w15:restartNumberingAfterBreak="0">
    <w:nsid w:val="0A5B684D"/>
    <w:multiLevelType w:val="singleLevel"/>
    <w:tmpl w:val="87B49A7C"/>
    <w:lvl w:ilvl="0">
      <w:start w:val="1"/>
      <w:numFmt w:val="bullet"/>
      <w:lvlText w:val=""/>
      <w:lvlJc w:val="left"/>
      <w:pPr>
        <w:tabs>
          <w:tab w:val="num" w:pos="644"/>
        </w:tabs>
        <w:ind w:left="624" w:hanging="340"/>
      </w:pPr>
      <w:rPr>
        <w:rFonts w:ascii="Symbol" w:hAnsi="Symbol" w:hint="default"/>
        <w:sz w:val="16"/>
      </w:rPr>
    </w:lvl>
  </w:abstractNum>
  <w:abstractNum w:abstractNumId="4" w15:restartNumberingAfterBreak="0">
    <w:nsid w:val="116B5D2A"/>
    <w:multiLevelType w:val="multilevel"/>
    <w:tmpl w:val="E4A64C18"/>
    <w:lvl w:ilvl="0">
      <w:start w:val="3"/>
      <w:numFmt w:val="decimal"/>
      <w:lvlText w:val="%1"/>
      <w:lvlJc w:val="left"/>
      <w:pPr>
        <w:tabs>
          <w:tab w:val="num" w:pos="567"/>
        </w:tabs>
        <w:ind w:left="567" w:hanging="567"/>
      </w:pPr>
      <w:rPr>
        <w:rFonts w:ascii="Tahoma" w:hAnsi="Tahoma" w:hint="default"/>
        <w:b w:val="0"/>
        <w:i w:val="0"/>
        <w:sz w:val="40"/>
        <w:u w:val="none"/>
        <w:effect w:val="none"/>
      </w:rPr>
    </w:lvl>
    <w:lvl w:ilvl="1">
      <w:start w:val="1"/>
      <w:numFmt w:val="decimal"/>
      <w:lvlText w:val="%1.%2"/>
      <w:lvlJc w:val="left"/>
      <w:pPr>
        <w:tabs>
          <w:tab w:val="num" w:pos="720"/>
        </w:tabs>
        <w:ind w:left="567" w:hanging="567"/>
      </w:pPr>
      <w:rPr>
        <w:sz w:val="32"/>
      </w:rPr>
    </w:lvl>
    <w:lvl w:ilvl="2">
      <w:start w:val="1"/>
      <w:numFmt w:val="decimal"/>
      <w:lvlText w:val="%1.%2.%3"/>
      <w:lvlJc w:val="left"/>
      <w:pPr>
        <w:tabs>
          <w:tab w:val="num" w:pos="1440"/>
        </w:tabs>
        <w:ind w:left="624" w:hanging="624"/>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 w15:restartNumberingAfterBreak="0">
    <w:nsid w:val="23A3635F"/>
    <w:multiLevelType w:val="multilevel"/>
    <w:tmpl w:val="2C60DB4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6" w15:restartNumberingAfterBreak="0">
    <w:nsid w:val="2847736C"/>
    <w:multiLevelType w:val="hybridMultilevel"/>
    <w:tmpl w:val="A89AC330"/>
    <w:lvl w:ilvl="0" w:tplc="A6FE0620">
      <w:start w:val="1"/>
      <w:numFmt w:val="decimal"/>
      <w:pStyle w:val="GFP2009listenumros"/>
      <w:lvlText w:val="%1."/>
      <w:lvlJc w:val="left"/>
      <w:pPr>
        <w:tabs>
          <w:tab w:val="num" w:pos="360"/>
        </w:tabs>
        <w:ind w:left="360" w:hanging="360"/>
      </w:pPr>
    </w:lvl>
    <w:lvl w:ilvl="1" w:tplc="32EC04BC" w:tentative="1">
      <w:start w:val="1"/>
      <w:numFmt w:val="lowerLetter"/>
      <w:lvlText w:val="%2."/>
      <w:lvlJc w:val="left"/>
      <w:pPr>
        <w:tabs>
          <w:tab w:val="num" w:pos="1080"/>
        </w:tabs>
        <w:ind w:left="1080" w:hanging="360"/>
      </w:pPr>
    </w:lvl>
    <w:lvl w:ilvl="2" w:tplc="DCFA20E0" w:tentative="1">
      <w:start w:val="1"/>
      <w:numFmt w:val="lowerRoman"/>
      <w:lvlText w:val="%3."/>
      <w:lvlJc w:val="right"/>
      <w:pPr>
        <w:tabs>
          <w:tab w:val="num" w:pos="1800"/>
        </w:tabs>
        <w:ind w:left="1800" w:hanging="180"/>
      </w:pPr>
    </w:lvl>
    <w:lvl w:ilvl="3" w:tplc="98AEE6FA" w:tentative="1">
      <w:start w:val="1"/>
      <w:numFmt w:val="decimal"/>
      <w:lvlText w:val="%4."/>
      <w:lvlJc w:val="left"/>
      <w:pPr>
        <w:tabs>
          <w:tab w:val="num" w:pos="2520"/>
        </w:tabs>
        <w:ind w:left="2520" w:hanging="360"/>
      </w:pPr>
    </w:lvl>
    <w:lvl w:ilvl="4" w:tplc="C1BAABBE" w:tentative="1">
      <w:start w:val="1"/>
      <w:numFmt w:val="lowerLetter"/>
      <w:lvlText w:val="%5."/>
      <w:lvlJc w:val="left"/>
      <w:pPr>
        <w:tabs>
          <w:tab w:val="num" w:pos="3240"/>
        </w:tabs>
        <w:ind w:left="3240" w:hanging="360"/>
      </w:pPr>
    </w:lvl>
    <w:lvl w:ilvl="5" w:tplc="34F4D4F2" w:tentative="1">
      <w:start w:val="1"/>
      <w:numFmt w:val="lowerRoman"/>
      <w:lvlText w:val="%6."/>
      <w:lvlJc w:val="right"/>
      <w:pPr>
        <w:tabs>
          <w:tab w:val="num" w:pos="3960"/>
        </w:tabs>
        <w:ind w:left="3960" w:hanging="180"/>
      </w:pPr>
    </w:lvl>
    <w:lvl w:ilvl="6" w:tplc="035AF2F6" w:tentative="1">
      <w:start w:val="1"/>
      <w:numFmt w:val="decimal"/>
      <w:lvlText w:val="%7."/>
      <w:lvlJc w:val="left"/>
      <w:pPr>
        <w:tabs>
          <w:tab w:val="num" w:pos="4680"/>
        </w:tabs>
        <w:ind w:left="4680" w:hanging="360"/>
      </w:pPr>
    </w:lvl>
    <w:lvl w:ilvl="7" w:tplc="70840E5E" w:tentative="1">
      <w:start w:val="1"/>
      <w:numFmt w:val="lowerLetter"/>
      <w:lvlText w:val="%8."/>
      <w:lvlJc w:val="left"/>
      <w:pPr>
        <w:tabs>
          <w:tab w:val="num" w:pos="5400"/>
        </w:tabs>
        <w:ind w:left="5400" w:hanging="360"/>
      </w:pPr>
    </w:lvl>
    <w:lvl w:ilvl="8" w:tplc="947268C4" w:tentative="1">
      <w:start w:val="1"/>
      <w:numFmt w:val="lowerRoman"/>
      <w:lvlText w:val="%9."/>
      <w:lvlJc w:val="right"/>
      <w:pPr>
        <w:tabs>
          <w:tab w:val="num" w:pos="6120"/>
        </w:tabs>
        <w:ind w:left="6120" w:hanging="180"/>
      </w:pPr>
    </w:lvl>
  </w:abstractNum>
  <w:abstractNum w:abstractNumId="7" w15:restartNumberingAfterBreak="0">
    <w:nsid w:val="391B0A8E"/>
    <w:multiLevelType w:val="hybridMultilevel"/>
    <w:tmpl w:val="E0244732"/>
    <w:lvl w:ilvl="0" w:tplc="EB84C88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D9E201F"/>
    <w:multiLevelType w:val="multilevel"/>
    <w:tmpl w:val="BEB4B9E2"/>
    <w:lvl w:ilvl="0">
      <w:start w:val="1"/>
      <w:numFmt w:val="decimal"/>
      <w:lvlText w:val="%1"/>
      <w:lvlJc w:val="left"/>
      <w:pPr>
        <w:tabs>
          <w:tab w:val="num" w:pos="360"/>
        </w:tabs>
        <w:ind w:left="284" w:hanging="284"/>
      </w:pPr>
      <w:rPr>
        <w:rFonts w:ascii="Times New Roman" w:hAnsi="Times New Roman" w:hint="default"/>
        <w:b/>
        <w:i w:val="0"/>
        <w:sz w:val="24"/>
        <w:u w:val="none"/>
        <w:effect w:val="none"/>
      </w:rPr>
    </w:lvl>
    <w:lvl w:ilvl="1">
      <w:start w:val="1"/>
      <w:numFmt w:val="decimal"/>
      <w:lvlText w:val="%1.%2"/>
      <w:lvlJc w:val="left"/>
      <w:pPr>
        <w:tabs>
          <w:tab w:val="num" w:pos="360"/>
        </w:tabs>
        <w:ind w:left="284" w:hanging="284"/>
      </w:pPr>
      <w:rPr>
        <w:rFonts w:ascii="Times New Roman" w:hAnsi="Times New Roman" w:hint="default"/>
        <w:b/>
        <w:i w:val="0"/>
        <w:sz w:val="22"/>
      </w:rPr>
    </w:lvl>
    <w:lvl w:ilvl="2">
      <w:start w:val="1"/>
      <w:numFmt w:val="decimal"/>
      <w:lvlText w:val="%1.%2.%3"/>
      <w:lvlJc w:val="left"/>
      <w:pPr>
        <w:tabs>
          <w:tab w:val="num" w:pos="624"/>
        </w:tabs>
        <w:ind w:left="624" w:hanging="624"/>
      </w:pPr>
      <w:rPr>
        <w:rFonts w:ascii="Times New Roman" w:hAnsi="Times New Roman" w:hint="default"/>
        <w:b w:val="0"/>
        <w:i/>
        <w:sz w:val="24"/>
      </w:rPr>
    </w:lvl>
    <w:lvl w:ilvl="3">
      <w:start w:val="1"/>
      <w:numFmt w:val="decimal"/>
      <w:pStyle w:val="Titre4"/>
      <w:lvlText w:val="%1.%2.%3.%4"/>
      <w:lvlJc w:val="left"/>
      <w:pPr>
        <w:tabs>
          <w:tab w:val="num" w:pos="864"/>
        </w:tabs>
        <w:ind w:left="864" w:hanging="864"/>
      </w:pPr>
    </w:lvl>
    <w:lvl w:ilvl="4">
      <w:start w:val="1"/>
      <w:numFmt w:val="decimal"/>
      <w:pStyle w:val="Titre5"/>
      <w:lvlText w:val="%1.%2.%3.%4.%5"/>
      <w:lvlJc w:val="left"/>
      <w:pPr>
        <w:tabs>
          <w:tab w:val="num" w:pos="1008"/>
        </w:tabs>
        <w:ind w:left="1008" w:hanging="1008"/>
      </w:pPr>
    </w:lvl>
    <w:lvl w:ilvl="5">
      <w:start w:val="1"/>
      <w:numFmt w:val="decimal"/>
      <w:pStyle w:val="Titre6"/>
      <w:lvlText w:val="%1.%2.%3.%4.%5.%6"/>
      <w:lvlJc w:val="left"/>
      <w:pPr>
        <w:tabs>
          <w:tab w:val="num" w:pos="1152"/>
        </w:tabs>
        <w:ind w:left="1152" w:hanging="1152"/>
      </w:pPr>
    </w:lvl>
    <w:lvl w:ilvl="6">
      <w:start w:val="1"/>
      <w:numFmt w:val="decimal"/>
      <w:pStyle w:val="Titre7"/>
      <w:lvlText w:val="%1.%2.%3.%4.%5.%6.%7"/>
      <w:lvlJc w:val="left"/>
      <w:pPr>
        <w:tabs>
          <w:tab w:val="num" w:pos="1296"/>
        </w:tabs>
        <w:ind w:left="1296" w:hanging="1296"/>
      </w:pPr>
    </w:lvl>
    <w:lvl w:ilvl="7">
      <w:start w:val="1"/>
      <w:numFmt w:val="decimal"/>
      <w:pStyle w:val="Titre8"/>
      <w:lvlText w:val="%1.%2.%3.%4.%5.%6.%7.%8"/>
      <w:lvlJc w:val="left"/>
      <w:pPr>
        <w:tabs>
          <w:tab w:val="num" w:pos="1440"/>
        </w:tabs>
        <w:ind w:left="1440" w:hanging="1440"/>
      </w:pPr>
    </w:lvl>
    <w:lvl w:ilvl="8">
      <w:start w:val="1"/>
      <w:numFmt w:val="decimal"/>
      <w:pStyle w:val="Titre9"/>
      <w:lvlText w:val="%1.%2.%3.%4.%5.%6.%7.%8.%9"/>
      <w:lvlJc w:val="left"/>
      <w:pPr>
        <w:tabs>
          <w:tab w:val="num" w:pos="1584"/>
        </w:tabs>
        <w:ind w:left="1584" w:hanging="1584"/>
      </w:pPr>
    </w:lvl>
  </w:abstractNum>
  <w:abstractNum w:abstractNumId="9" w15:restartNumberingAfterBreak="0">
    <w:nsid w:val="69B45E8F"/>
    <w:multiLevelType w:val="singleLevel"/>
    <w:tmpl w:val="3D58C2BE"/>
    <w:lvl w:ilvl="0">
      <w:start w:val="1"/>
      <w:numFmt w:val="bullet"/>
      <w:pStyle w:val="BulletedList"/>
      <w:lvlText w:val=""/>
      <w:lvlJc w:val="left"/>
      <w:pPr>
        <w:tabs>
          <w:tab w:val="num" w:pos="644"/>
        </w:tabs>
        <w:ind w:left="624" w:hanging="340"/>
      </w:pPr>
      <w:rPr>
        <w:rFonts w:ascii="Symbol" w:hAnsi="Symbol" w:hint="default"/>
        <w:sz w:val="16"/>
      </w:rPr>
    </w:lvl>
  </w:abstractNum>
  <w:abstractNum w:abstractNumId="10" w15:restartNumberingAfterBreak="0">
    <w:nsid w:val="76612930"/>
    <w:multiLevelType w:val="singleLevel"/>
    <w:tmpl w:val="9FD07D7E"/>
    <w:lvl w:ilvl="0">
      <w:start w:val="1"/>
      <w:numFmt w:val="decimal"/>
      <w:lvlText w:val="%1."/>
      <w:legacy w:legacy="1" w:legacySpace="0" w:legacyIndent="283"/>
      <w:lvlJc w:val="left"/>
      <w:pPr>
        <w:ind w:left="283" w:hanging="283"/>
      </w:pPr>
    </w:lvl>
  </w:abstractNum>
  <w:abstractNum w:abstractNumId="11" w15:restartNumberingAfterBreak="0">
    <w:nsid w:val="77B77309"/>
    <w:multiLevelType w:val="singleLevel"/>
    <w:tmpl w:val="CF22DA76"/>
    <w:lvl w:ilvl="0">
      <w:start w:val="1"/>
      <w:numFmt w:val="bullet"/>
      <w:lvlText w:val=""/>
      <w:lvlJc w:val="left"/>
      <w:pPr>
        <w:tabs>
          <w:tab w:val="num" w:pos="644"/>
        </w:tabs>
        <w:ind w:left="624" w:hanging="340"/>
      </w:pPr>
      <w:rPr>
        <w:rFonts w:ascii="Symbol" w:hAnsi="Symbol" w:hint="default"/>
        <w:sz w:val="16"/>
      </w:rPr>
    </w:lvl>
  </w:abstractNum>
  <w:num w:numId="1">
    <w:abstractNumId w:val="4"/>
  </w:num>
  <w:num w:numId="2">
    <w:abstractNumId w:val="10"/>
  </w:num>
  <w:num w:numId="3">
    <w:abstractNumId w:val="1"/>
    <w:lvlOverride w:ilvl="0">
      <w:lvl w:ilvl="0">
        <w:start w:val="1"/>
        <w:numFmt w:val="bullet"/>
        <w:lvlText w:val=""/>
        <w:legacy w:legacy="1" w:legacySpace="0" w:legacyIndent="283"/>
        <w:lvlJc w:val="left"/>
        <w:pPr>
          <w:ind w:left="567" w:hanging="283"/>
        </w:pPr>
        <w:rPr>
          <w:rFonts w:ascii="Courier" w:hAnsi="Courier" w:hint="default"/>
          <w:sz w:val="18"/>
        </w:rPr>
      </w:lvl>
    </w:lvlOverride>
  </w:num>
  <w:num w:numId="4">
    <w:abstractNumId w:val="3"/>
  </w:num>
  <w:num w:numId="5">
    <w:abstractNumId w:val="3"/>
  </w:num>
  <w:num w:numId="6">
    <w:abstractNumId w:val="3"/>
  </w:num>
  <w:num w:numId="7">
    <w:abstractNumId w:val="4"/>
  </w:num>
  <w:num w:numId="8">
    <w:abstractNumId w:val="4"/>
  </w:num>
  <w:num w:numId="9">
    <w:abstractNumId w:val="4"/>
  </w:num>
  <w:num w:numId="10">
    <w:abstractNumId w:val="8"/>
  </w:num>
  <w:num w:numId="11">
    <w:abstractNumId w:val="8"/>
  </w:num>
  <w:num w:numId="12">
    <w:abstractNumId w:val="8"/>
  </w:num>
  <w:num w:numId="13">
    <w:abstractNumId w:val="8"/>
  </w:num>
  <w:num w:numId="14">
    <w:abstractNumId w:val="8"/>
  </w:num>
  <w:num w:numId="15">
    <w:abstractNumId w:val="11"/>
  </w:num>
  <w:num w:numId="16">
    <w:abstractNumId w:val="9"/>
  </w:num>
  <w:num w:numId="17">
    <w:abstractNumId w:val="2"/>
  </w:num>
  <w:num w:numId="18">
    <w:abstractNumId w:val="6"/>
  </w:num>
  <w:num w:numId="19">
    <w:abstractNumId w:val="5"/>
  </w:num>
  <w:num w:numId="20">
    <w:abstractNumId w:val="6"/>
    <w:lvlOverride w:ilvl="0">
      <w:startOverride w:val="1"/>
    </w:lvlOverride>
  </w:num>
  <w:num w:numId="21">
    <w:abstractNumId w:val="7"/>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trackRevisions/>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7C1"/>
    <w:rsid w:val="000103BC"/>
    <w:rsid w:val="0001765D"/>
    <w:rsid w:val="00037047"/>
    <w:rsid w:val="000413D6"/>
    <w:rsid w:val="000422B6"/>
    <w:rsid w:val="0005687A"/>
    <w:rsid w:val="00085136"/>
    <w:rsid w:val="000A089D"/>
    <w:rsid w:val="000F7EFA"/>
    <w:rsid w:val="001003F2"/>
    <w:rsid w:val="00100E52"/>
    <w:rsid w:val="0018395E"/>
    <w:rsid w:val="001C3442"/>
    <w:rsid w:val="001D39A1"/>
    <w:rsid w:val="00205E0D"/>
    <w:rsid w:val="00205E7A"/>
    <w:rsid w:val="002631DA"/>
    <w:rsid w:val="002708D6"/>
    <w:rsid w:val="002722A5"/>
    <w:rsid w:val="00291858"/>
    <w:rsid w:val="002C39B0"/>
    <w:rsid w:val="003041C5"/>
    <w:rsid w:val="0031532A"/>
    <w:rsid w:val="0032387B"/>
    <w:rsid w:val="003355BC"/>
    <w:rsid w:val="00336293"/>
    <w:rsid w:val="00340FEC"/>
    <w:rsid w:val="0035198C"/>
    <w:rsid w:val="00367F1A"/>
    <w:rsid w:val="00376937"/>
    <w:rsid w:val="00394B62"/>
    <w:rsid w:val="003A1ACB"/>
    <w:rsid w:val="003B1F6D"/>
    <w:rsid w:val="003B736E"/>
    <w:rsid w:val="003C01AD"/>
    <w:rsid w:val="003E1780"/>
    <w:rsid w:val="003F5268"/>
    <w:rsid w:val="00400949"/>
    <w:rsid w:val="00400E7D"/>
    <w:rsid w:val="00410EDC"/>
    <w:rsid w:val="00447369"/>
    <w:rsid w:val="00456BED"/>
    <w:rsid w:val="00473147"/>
    <w:rsid w:val="0047673D"/>
    <w:rsid w:val="00485620"/>
    <w:rsid w:val="00487C40"/>
    <w:rsid w:val="004A2764"/>
    <w:rsid w:val="004C54D5"/>
    <w:rsid w:val="004D0DE0"/>
    <w:rsid w:val="004E18F7"/>
    <w:rsid w:val="0052577C"/>
    <w:rsid w:val="00532DA2"/>
    <w:rsid w:val="005631B2"/>
    <w:rsid w:val="0059001E"/>
    <w:rsid w:val="005C67C1"/>
    <w:rsid w:val="005E3B0D"/>
    <w:rsid w:val="00605F4B"/>
    <w:rsid w:val="00635D0E"/>
    <w:rsid w:val="00647AE0"/>
    <w:rsid w:val="006619AF"/>
    <w:rsid w:val="006716EB"/>
    <w:rsid w:val="00692192"/>
    <w:rsid w:val="006D661A"/>
    <w:rsid w:val="006E616E"/>
    <w:rsid w:val="00703992"/>
    <w:rsid w:val="00722AF3"/>
    <w:rsid w:val="00727F46"/>
    <w:rsid w:val="007340EB"/>
    <w:rsid w:val="0073471E"/>
    <w:rsid w:val="00735A14"/>
    <w:rsid w:val="00763729"/>
    <w:rsid w:val="0076765E"/>
    <w:rsid w:val="007826EE"/>
    <w:rsid w:val="0079305F"/>
    <w:rsid w:val="007B24CF"/>
    <w:rsid w:val="007C6201"/>
    <w:rsid w:val="0080029E"/>
    <w:rsid w:val="00803BD3"/>
    <w:rsid w:val="00817335"/>
    <w:rsid w:val="00817D86"/>
    <w:rsid w:val="00841074"/>
    <w:rsid w:val="00874BDC"/>
    <w:rsid w:val="008754EE"/>
    <w:rsid w:val="008A71B4"/>
    <w:rsid w:val="00920BE1"/>
    <w:rsid w:val="009249A3"/>
    <w:rsid w:val="009565D2"/>
    <w:rsid w:val="009654F8"/>
    <w:rsid w:val="00977621"/>
    <w:rsid w:val="00996C07"/>
    <w:rsid w:val="009A2523"/>
    <w:rsid w:val="009D7068"/>
    <w:rsid w:val="00A218D2"/>
    <w:rsid w:val="00A27C00"/>
    <w:rsid w:val="00A32096"/>
    <w:rsid w:val="00A34E17"/>
    <w:rsid w:val="00A6238D"/>
    <w:rsid w:val="00A637C0"/>
    <w:rsid w:val="00A71B42"/>
    <w:rsid w:val="00A7738F"/>
    <w:rsid w:val="00A824EC"/>
    <w:rsid w:val="00A87466"/>
    <w:rsid w:val="00AC2A27"/>
    <w:rsid w:val="00AD025C"/>
    <w:rsid w:val="00AF4CB1"/>
    <w:rsid w:val="00B41A7D"/>
    <w:rsid w:val="00B60787"/>
    <w:rsid w:val="00B6793B"/>
    <w:rsid w:val="00B8107C"/>
    <w:rsid w:val="00B925CF"/>
    <w:rsid w:val="00BB33A7"/>
    <w:rsid w:val="00BE174F"/>
    <w:rsid w:val="00C008B6"/>
    <w:rsid w:val="00C04E97"/>
    <w:rsid w:val="00C07DDA"/>
    <w:rsid w:val="00C130A0"/>
    <w:rsid w:val="00C506C1"/>
    <w:rsid w:val="00C53260"/>
    <w:rsid w:val="00CA4AF5"/>
    <w:rsid w:val="00D3081A"/>
    <w:rsid w:val="00D71742"/>
    <w:rsid w:val="00D93BE2"/>
    <w:rsid w:val="00DA6A31"/>
    <w:rsid w:val="00DB0430"/>
    <w:rsid w:val="00DB56BF"/>
    <w:rsid w:val="00E0323D"/>
    <w:rsid w:val="00E10FD0"/>
    <w:rsid w:val="00E230CC"/>
    <w:rsid w:val="00E65A44"/>
    <w:rsid w:val="00E74125"/>
    <w:rsid w:val="00E844AE"/>
    <w:rsid w:val="00E90380"/>
    <w:rsid w:val="00E910C3"/>
    <w:rsid w:val="00E922A0"/>
    <w:rsid w:val="00ED3EF3"/>
    <w:rsid w:val="00F02324"/>
    <w:rsid w:val="00F05F99"/>
    <w:rsid w:val="00FF2A8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1186D8-4D85-422E-BC29-9801B5D70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4" w:lineRule="auto"/>
      <w:jc w:val="both"/>
    </w:pPr>
    <w:rPr>
      <w:kern w:val="28"/>
      <w:lang w:val="en-GB" w:eastAsia="es-ES"/>
    </w:rPr>
  </w:style>
  <w:style w:type="paragraph" w:styleId="Titre1">
    <w:name w:val="heading 1"/>
    <w:basedOn w:val="Normal"/>
    <w:next w:val="Normal"/>
    <w:qFormat/>
    <w:pPr>
      <w:keepNext/>
      <w:spacing w:after="120" w:line="240" w:lineRule="auto"/>
      <w:outlineLvl w:val="0"/>
    </w:pPr>
    <w:rPr>
      <w:b/>
      <w:sz w:val="24"/>
    </w:rPr>
  </w:style>
  <w:style w:type="paragraph" w:styleId="Titre2">
    <w:name w:val="heading 2"/>
    <w:basedOn w:val="Titre1"/>
    <w:next w:val="Normal"/>
    <w:qFormat/>
    <w:pPr>
      <w:spacing w:after="0"/>
      <w:outlineLvl w:val="1"/>
    </w:pPr>
    <w:rPr>
      <w:sz w:val="20"/>
    </w:rPr>
  </w:style>
  <w:style w:type="paragraph" w:styleId="Titre3">
    <w:name w:val="heading 3"/>
    <w:basedOn w:val="Normal"/>
    <w:next w:val="Normal"/>
    <w:qFormat/>
    <w:pPr>
      <w:keepNext/>
      <w:spacing w:line="240" w:lineRule="auto"/>
      <w:outlineLvl w:val="2"/>
    </w:pPr>
    <w:rPr>
      <w:i/>
    </w:rPr>
  </w:style>
  <w:style w:type="paragraph" w:styleId="Titre4">
    <w:name w:val="heading 4"/>
    <w:basedOn w:val="Normal"/>
    <w:next w:val="Normal"/>
    <w:qFormat/>
    <w:pPr>
      <w:keepNext/>
      <w:numPr>
        <w:ilvl w:val="3"/>
        <w:numId w:val="14"/>
      </w:numPr>
      <w:spacing w:before="240" w:after="60"/>
      <w:outlineLvl w:val="3"/>
    </w:pPr>
    <w:rPr>
      <w:b/>
      <w:i/>
    </w:rPr>
  </w:style>
  <w:style w:type="paragraph" w:styleId="Titre5">
    <w:name w:val="heading 5"/>
    <w:basedOn w:val="Normal"/>
    <w:next w:val="Normal"/>
    <w:qFormat/>
    <w:pPr>
      <w:numPr>
        <w:ilvl w:val="4"/>
        <w:numId w:val="14"/>
      </w:numPr>
      <w:spacing w:before="240" w:after="60"/>
      <w:outlineLvl w:val="4"/>
    </w:pPr>
    <w:rPr>
      <w:rFonts w:ascii="Arial" w:hAnsi="Arial"/>
    </w:rPr>
  </w:style>
  <w:style w:type="paragraph" w:styleId="Titre6">
    <w:name w:val="heading 6"/>
    <w:basedOn w:val="Normal"/>
    <w:next w:val="Normal"/>
    <w:qFormat/>
    <w:pPr>
      <w:numPr>
        <w:ilvl w:val="5"/>
        <w:numId w:val="14"/>
      </w:numPr>
      <w:spacing w:before="240" w:after="60"/>
      <w:outlineLvl w:val="5"/>
    </w:pPr>
    <w:rPr>
      <w:rFonts w:ascii="Arial" w:hAnsi="Arial"/>
      <w:i/>
    </w:rPr>
  </w:style>
  <w:style w:type="paragraph" w:styleId="Titre7">
    <w:name w:val="heading 7"/>
    <w:basedOn w:val="Normal"/>
    <w:next w:val="Normal"/>
    <w:qFormat/>
    <w:pPr>
      <w:numPr>
        <w:ilvl w:val="6"/>
        <w:numId w:val="14"/>
      </w:numPr>
      <w:spacing w:before="240" w:after="60"/>
      <w:outlineLvl w:val="6"/>
    </w:pPr>
    <w:rPr>
      <w:rFonts w:ascii="Arial" w:hAnsi="Arial"/>
    </w:rPr>
  </w:style>
  <w:style w:type="paragraph" w:styleId="Titre8">
    <w:name w:val="heading 8"/>
    <w:basedOn w:val="Normal"/>
    <w:next w:val="Normal"/>
    <w:qFormat/>
    <w:pPr>
      <w:numPr>
        <w:ilvl w:val="7"/>
        <w:numId w:val="14"/>
      </w:numPr>
      <w:spacing w:before="240" w:after="60"/>
      <w:outlineLvl w:val="7"/>
    </w:pPr>
    <w:rPr>
      <w:rFonts w:ascii="Arial" w:hAnsi="Arial"/>
      <w:i/>
    </w:rPr>
  </w:style>
  <w:style w:type="paragraph" w:styleId="Titre9">
    <w:name w:val="heading 9"/>
    <w:basedOn w:val="Normal"/>
    <w:next w:val="Normal"/>
    <w:qFormat/>
    <w:pPr>
      <w:numPr>
        <w:ilvl w:val="8"/>
        <w:numId w:val="14"/>
      </w:numPr>
      <w:spacing w:before="240" w:after="60"/>
      <w:outlineLvl w:val="8"/>
    </w:pPr>
    <w:rPr>
      <w:rFonts w:ascii="Arial" w:hAnsi="Arial"/>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M1">
    <w:name w:val="toc 1"/>
    <w:basedOn w:val="Normal"/>
    <w:next w:val="Normal"/>
    <w:semiHidden/>
    <w:pPr>
      <w:spacing w:before="120" w:after="120"/>
    </w:pPr>
    <w:rPr>
      <w:b/>
      <w:caps/>
    </w:rPr>
  </w:style>
  <w:style w:type="paragraph" w:styleId="TM2">
    <w:name w:val="toc 2"/>
    <w:basedOn w:val="Normal"/>
    <w:next w:val="Normal"/>
    <w:semiHidden/>
    <w:pPr>
      <w:ind w:left="240"/>
    </w:pPr>
  </w:style>
  <w:style w:type="paragraph" w:styleId="TM3">
    <w:name w:val="toc 3"/>
    <w:basedOn w:val="Normal"/>
    <w:next w:val="Normal"/>
    <w:semiHidden/>
    <w:pPr>
      <w:tabs>
        <w:tab w:val="right" w:leader="dot" w:pos="9072"/>
      </w:tabs>
      <w:spacing w:before="24"/>
      <w:ind w:left="442"/>
    </w:pPr>
  </w:style>
  <w:style w:type="paragraph" w:styleId="TM4">
    <w:name w:val="toc 4"/>
    <w:basedOn w:val="Normal"/>
    <w:next w:val="Normal"/>
    <w:semiHidden/>
    <w:pPr>
      <w:tabs>
        <w:tab w:val="right" w:leader="dot" w:pos="9072"/>
      </w:tabs>
      <w:ind w:left="660"/>
    </w:pPr>
    <w:rPr>
      <w:rFonts w:ascii="CG Omega (W1)" w:hAnsi="CG Omega (W1)"/>
    </w:rPr>
  </w:style>
  <w:style w:type="paragraph" w:styleId="TM5">
    <w:name w:val="toc 5"/>
    <w:basedOn w:val="Normal"/>
    <w:next w:val="Normal"/>
    <w:semiHidden/>
    <w:pPr>
      <w:tabs>
        <w:tab w:val="right" w:leader="dot" w:pos="9072"/>
      </w:tabs>
      <w:ind w:left="880"/>
    </w:pPr>
    <w:rPr>
      <w:rFonts w:ascii="CG Omega (W1)" w:hAnsi="CG Omega (W1)"/>
    </w:rPr>
  </w:style>
  <w:style w:type="paragraph" w:styleId="TM6">
    <w:name w:val="toc 6"/>
    <w:basedOn w:val="Normal"/>
    <w:next w:val="Normal"/>
    <w:semiHidden/>
    <w:pPr>
      <w:tabs>
        <w:tab w:val="right" w:leader="dot" w:pos="9072"/>
      </w:tabs>
      <w:ind w:left="1100"/>
    </w:pPr>
    <w:rPr>
      <w:rFonts w:ascii="CG Omega (W1)" w:hAnsi="CG Omega (W1)"/>
    </w:rPr>
  </w:style>
  <w:style w:type="paragraph" w:styleId="TM7">
    <w:name w:val="toc 7"/>
    <w:basedOn w:val="Normal"/>
    <w:next w:val="Normal"/>
    <w:semiHidden/>
    <w:pPr>
      <w:tabs>
        <w:tab w:val="right" w:leader="dot" w:pos="9072"/>
      </w:tabs>
      <w:ind w:left="1320"/>
    </w:pPr>
    <w:rPr>
      <w:rFonts w:ascii="CG Omega (W1)" w:hAnsi="CG Omega (W1)"/>
    </w:rPr>
  </w:style>
  <w:style w:type="paragraph" w:styleId="TM8">
    <w:name w:val="toc 8"/>
    <w:basedOn w:val="Normal"/>
    <w:next w:val="Normal"/>
    <w:semiHidden/>
    <w:pPr>
      <w:tabs>
        <w:tab w:val="right" w:leader="dot" w:pos="9072"/>
      </w:tabs>
      <w:ind w:left="1540"/>
    </w:pPr>
    <w:rPr>
      <w:rFonts w:ascii="CG Omega (W1)" w:hAnsi="CG Omega (W1)"/>
    </w:rPr>
  </w:style>
  <w:style w:type="paragraph" w:styleId="TM9">
    <w:name w:val="toc 9"/>
    <w:basedOn w:val="Normal"/>
    <w:next w:val="Normal"/>
    <w:semiHidden/>
    <w:pPr>
      <w:tabs>
        <w:tab w:val="right" w:leader="dot" w:pos="9071"/>
      </w:tabs>
      <w:ind w:left="1760"/>
    </w:pPr>
    <w:rPr>
      <w:rFonts w:ascii="CG Omega (W1)" w:hAnsi="CG Omega (W1)"/>
      <w:sz w:val="22"/>
    </w:rPr>
  </w:style>
  <w:style w:type="paragraph" w:styleId="Lgende">
    <w:name w:val="caption"/>
    <w:basedOn w:val="Normal"/>
    <w:next w:val="Normal"/>
    <w:qFormat/>
    <w:pPr>
      <w:spacing w:before="567" w:after="567" w:line="240" w:lineRule="auto"/>
      <w:jc w:val="left"/>
    </w:pPr>
    <w:rPr>
      <w:i/>
    </w:rPr>
  </w:style>
  <w:style w:type="paragraph" w:styleId="Notedebasdepage">
    <w:name w:val="footnote text"/>
    <w:basedOn w:val="Normal"/>
    <w:semiHidden/>
    <w:pPr>
      <w:spacing w:line="240" w:lineRule="auto"/>
    </w:pPr>
    <w:rPr>
      <w:sz w:val="18"/>
    </w:rPr>
  </w:style>
  <w:style w:type="paragraph" w:customStyle="1" w:styleId="SFGPnotebasdepage">
    <w:name w:val="SFGP_note_bas_de_page"/>
    <w:basedOn w:val="GFP2009rfrences"/>
    <w:rsid w:val="009A2523"/>
    <w:rPr>
      <w:lang w:val="fr-FR"/>
    </w:rPr>
  </w:style>
  <w:style w:type="paragraph" w:customStyle="1" w:styleId="GFP2011rsum">
    <w:name w:val="GFP2011_résumé"/>
    <w:basedOn w:val="Normal"/>
    <w:rsid w:val="0031532A"/>
    <w:pPr>
      <w:jc w:val="left"/>
    </w:pPr>
    <w:rPr>
      <w:b/>
      <w:sz w:val="24"/>
    </w:rPr>
  </w:style>
  <w:style w:type="paragraph" w:styleId="En-tte">
    <w:name w:val="header"/>
    <w:basedOn w:val="Normal"/>
    <w:rsid w:val="00100E52"/>
    <w:pPr>
      <w:tabs>
        <w:tab w:val="center" w:pos="4536"/>
        <w:tab w:val="right" w:pos="9072"/>
      </w:tabs>
    </w:pPr>
  </w:style>
  <w:style w:type="paragraph" w:customStyle="1" w:styleId="BulletedList">
    <w:name w:val="Bulleted List"/>
    <w:basedOn w:val="Normal"/>
    <w:semiHidden/>
    <w:pPr>
      <w:numPr>
        <w:numId w:val="16"/>
      </w:numPr>
      <w:tabs>
        <w:tab w:val="clear" w:pos="644"/>
      </w:tabs>
      <w:ind w:left="567" w:hanging="283"/>
    </w:pPr>
  </w:style>
  <w:style w:type="paragraph" w:customStyle="1" w:styleId="NumberedList">
    <w:name w:val="Numbered List"/>
    <w:basedOn w:val="BulletedList"/>
    <w:semiHidden/>
    <w:pPr>
      <w:numPr>
        <w:numId w:val="17"/>
      </w:numPr>
    </w:pPr>
  </w:style>
  <w:style w:type="character" w:styleId="Appelnotedebasdep">
    <w:name w:val="footnote reference"/>
    <w:semiHidden/>
    <w:rPr>
      <w:vertAlign w:val="superscript"/>
    </w:rPr>
  </w:style>
  <w:style w:type="paragraph" w:customStyle="1" w:styleId="GFP2012titreresume">
    <w:name w:val="GFP2012_titre_resume"/>
    <w:basedOn w:val="Normal"/>
    <w:next w:val="GFP2012auteurs"/>
    <w:rsid w:val="0031532A"/>
    <w:pPr>
      <w:spacing w:before="720" w:after="120"/>
      <w:jc w:val="center"/>
    </w:pPr>
    <w:rPr>
      <w:b/>
      <w:bCs/>
      <w:sz w:val="32"/>
    </w:rPr>
  </w:style>
  <w:style w:type="paragraph" w:customStyle="1" w:styleId="GFP2012auteurs">
    <w:name w:val="GFP2012_auteurs"/>
    <w:basedOn w:val="Normal"/>
    <w:rsid w:val="0031532A"/>
    <w:pPr>
      <w:spacing w:before="40" w:after="20"/>
      <w:jc w:val="center"/>
    </w:pPr>
    <w:rPr>
      <w:sz w:val="24"/>
    </w:rPr>
  </w:style>
  <w:style w:type="paragraph" w:customStyle="1" w:styleId="GFP2009titre1">
    <w:name w:val="GFP2009_titre_1"/>
    <w:basedOn w:val="Normal"/>
    <w:next w:val="Normal"/>
    <w:pPr>
      <w:spacing w:before="240" w:after="120"/>
    </w:pPr>
    <w:rPr>
      <w:b/>
      <w:sz w:val="24"/>
    </w:rPr>
  </w:style>
  <w:style w:type="paragraph" w:customStyle="1" w:styleId="GFP2009titre2">
    <w:name w:val="GFP2009_titre_2"/>
    <w:basedOn w:val="Normal"/>
    <w:next w:val="Normal"/>
    <w:pPr>
      <w:spacing w:before="120"/>
    </w:pPr>
    <w:rPr>
      <w:b/>
    </w:rPr>
  </w:style>
  <w:style w:type="paragraph" w:customStyle="1" w:styleId="GFP2009listeapoint">
    <w:name w:val="GFP2009_liste_a_point"/>
    <w:basedOn w:val="BulletedList"/>
    <w:pPr>
      <w:tabs>
        <w:tab w:val="left" w:pos="284"/>
      </w:tabs>
      <w:ind w:left="283"/>
    </w:pPr>
  </w:style>
  <w:style w:type="paragraph" w:customStyle="1" w:styleId="GFP2009-Equation">
    <w:name w:val="GFP2009-Equation"/>
    <w:basedOn w:val="Normal"/>
    <w:rsid w:val="0073471E"/>
    <w:pPr>
      <w:tabs>
        <w:tab w:val="right" w:pos="8505"/>
      </w:tabs>
      <w:spacing w:before="60" w:after="60"/>
    </w:pPr>
    <w:rPr>
      <w:lang w:val="fr-FR"/>
    </w:rPr>
  </w:style>
  <w:style w:type="paragraph" w:customStyle="1" w:styleId="GFP2009titre3">
    <w:name w:val="GFP2009_titre_3"/>
    <w:basedOn w:val="Normal"/>
    <w:next w:val="Normal"/>
    <w:pPr>
      <w:spacing w:before="60"/>
    </w:pPr>
    <w:rPr>
      <w:i/>
      <w:iCs/>
    </w:rPr>
  </w:style>
  <w:style w:type="paragraph" w:styleId="Pieddepage">
    <w:name w:val="footer"/>
    <w:basedOn w:val="Normal"/>
    <w:rsid w:val="00100E52"/>
    <w:pPr>
      <w:tabs>
        <w:tab w:val="center" w:pos="4536"/>
        <w:tab w:val="right" w:pos="9072"/>
      </w:tabs>
    </w:pPr>
  </w:style>
  <w:style w:type="paragraph" w:customStyle="1" w:styleId="GFP2009rfrences">
    <w:name w:val="GFP2009_références"/>
    <w:basedOn w:val="Normal"/>
    <w:pPr>
      <w:ind w:left="142" w:hanging="142"/>
    </w:pPr>
    <w:rPr>
      <w:sz w:val="18"/>
    </w:rPr>
  </w:style>
  <w:style w:type="paragraph" w:customStyle="1" w:styleId="GFP2009titrefigure">
    <w:name w:val="GFP2009_titre_figure"/>
    <w:basedOn w:val="Normal"/>
    <w:pPr>
      <w:spacing w:before="120" w:after="120"/>
      <w:jc w:val="center"/>
    </w:pPr>
    <w:rPr>
      <w:i/>
      <w:iCs/>
      <w:sz w:val="18"/>
    </w:rPr>
  </w:style>
  <w:style w:type="paragraph" w:customStyle="1" w:styleId="GFP2009-Figure">
    <w:name w:val="GFP2009-Figure"/>
    <w:basedOn w:val="Normal"/>
    <w:next w:val="GFP2009titrefigure"/>
    <w:pPr>
      <w:spacing w:before="120"/>
      <w:jc w:val="center"/>
    </w:pPr>
  </w:style>
  <w:style w:type="character" w:styleId="Numrodepage">
    <w:name w:val="page number"/>
    <w:basedOn w:val="Policepardfaut"/>
    <w:rsid w:val="003E1780"/>
  </w:style>
  <w:style w:type="paragraph" w:customStyle="1" w:styleId="GFP2012motscles">
    <w:name w:val="GFP2012_mots_cles"/>
    <w:basedOn w:val="Normal"/>
    <w:pPr>
      <w:spacing w:before="120" w:after="120"/>
    </w:pPr>
  </w:style>
  <w:style w:type="paragraph" w:customStyle="1" w:styleId="GFP2009listenumros">
    <w:name w:val="GFP2009_liste_numéros"/>
    <w:basedOn w:val="GFP2009listeapoint"/>
    <w:pPr>
      <w:numPr>
        <w:numId w:val="18"/>
      </w:numPr>
      <w:tabs>
        <w:tab w:val="clear" w:pos="360"/>
        <w:tab w:val="num" w:pos="284"/>
      </w:tabs>
      <w:ind w:left="284" w:hanging="284"/>
    </w:pPr>
  </w:style>
  <w:style w:type="paragraph" w:styleId="Explorateurdedocuments">
    <w:name w:val="Document Map"/>
    <w:basedOn w:val="Normal"/>
    <w:semiHidden/>
    <w:rsid w:val="005C67C1"/>
    <w:pPr>
      <w:shd w:val="clear" w:color="auto" w:fill="000080"/>
    </w:pPr>
    <w:rPr>
      <w:rFonts w:ascii="Tahoma" w:hAnsi="Tahoma" w:cs="Tahoma"/>
    </w:rPr>
  </w:style>
  <w:style w:type="paragraph" w:customStyle="1" w:styleId="GFP2009titretableau">
    <w:name w:val="GFP2009_titre_tableau"/>
    <w:basedOn w:val="GFP2009titrefigure"/>
    <w:pPr>
      <w:ind w:left="1540" w:right="830" w:hanging="709"/>
      <w:jc w:val="both"/>
    </w:pPr>
  </w:style>
  <w:style w:type="character" w:styleId="Lienhypertexte">
    <w:name w:val="Hyperlink"/>
    <w:rsid w:val="0059001E"/>
    <w:rPr>
      <w:color w:val="0000FF"/>
      <w:u w:val="single"/>
    </w:rPr>
  </w:style>
  <w:style w:type="paragraph" w:customStyle="1" w:styleId="Default">
    <w:name w:val="Default"/>
    <w:rsid w:val="00C07DDA"/>
    <w:pPr>
      <w:autoSpaceDE w:val="0"/>
      <w:autoSpaceDN w:val="0"/>
      <w:adjustRightInd w:val="0"/>
    </w:pPr>
    <w:rPr>
      <w:rFonts w:ascii="Calibri" w:hAnsi="Calibri" w:cs="Calibri"/>
      <w:color w:val="000000"/>
      <w:sz w:val="24"/>
      <w:szCs w:val="24"/>
    </w:rPr>
  </w:style>
  <w:style w:type="paragraph" w:customStyle="1" w:styleId="GFP2012texte">
    <w:name w:val="GFP2012_texte"/>
    <w:basedOn w:val="GFP2011rsum"/>
    <w:rsid w:val="00205E7A"/>
    <w:pPr>
      <w:spacing w:before="240"/>
    </w:pPr>
    <w:rPr>
      <w:b w:val="0"/>
      <w:bCs/>
      <w:sz w:val="22"/>
    </w:rPr>
  </w:style>
  <w:style w:type="character" w:styleId="Marquedecommentaire">
    <w:name w:val="annotation reference"/>
    <w:rsid w:val="00722AF3"/>
    <w:rPr>
      <w:sz w:val="18"/>
      <w:szCs w:val="18"/>
    </w:rPr>
  </w:style>
  <w:style w:type="paragraph" w:customStyle="1" w:styleId="GFP2012adresse">
    <w:name w:val="GFP2012_adresse"/>
    <w:basedOn w:val="GFP2012motscles"/>
    <w:rsid w:val="00D93BE2"/>
    <w:rPr>
      <w:bCs/>
      <w:i/>
    </w:rPr>
  </w:style>
  <w:style w:type="paragraph" w:styleId="Commentaire">
    <w:name w:val="annotation text"/>
    <w:basedOn w:val="Normal"/>
    <w:link w:val="CommentaireCar"/>
    <w:rsid w:val="00722AF3"/>
    <w:rPr>
      <w:sz w:val="24"/>
      <w:szCs w:val="24"/>
    </w:rPr>
  </w:style>
  <w:style w:type="character" w:customStyle="1" w:styleId="CommentaireCar">
    <w:name w:val="Commentaire Car"/>
    <w:link w:val="Commentaire"/>
    <w:rsid w:val="00722AF3"/>
    <w:rPr>
      <w:kern w:val="28"/>
      <w:sz w:val="24"/>
      <w:szCs w:val="24"/>
      <w:lang w:val="en-GB" w:eastAsia="es-ES"/>
    </w:rPr>
  </w:style>
  <w:style w:type="paragraph" w:styleId="Objetducommentaire">
    <w:name w:val="annotation subject"/>
    <w:basedOn w:val="Commentaire"/>
    <w:next w:val="Commentaire"/>
    <w:link w:val="ObjetducommentaireCar"/>
    <w:rsid w:val="00722AF3"/>
    <w:rPr>
      <w:b/>
      <w:bCs/>
      <w:sz w:val="20"/>
      <w:szCs w:val="20"/>
    </w:rPr>
  </w:style>
  <w:style w:type="character" w:customStyle="1" w:styleId="ObjetducommentaireCar">
    <w:name w:val="Objet du commentaire Car"/>
    <w:link w:val="Objetducommentaire"/>
    <w:rsid w:val="00722AF3"/>
    <w:rPr>
      <w:b/>
      <w:bCs/>
      <w:kern w:val="28"/>
      <w:sz w:val="24"/>
      <w:szCs w:val="24"/>
      <w:lang w:val="en-GB" w:eastAsia="es-ES"/>
    </w:rPr>
  </w:style>
  <w:style w:type="paragraph" w:styleId="Textedebulles">
    <w:name w:val="Balloon Text"/>
    <w:basedOn w:val="Normal"/>
    <w:link w:val="TextedebullesCar"/>
    <w:rsid w:val="00722AF3"/>
    <w:pPr>
      <w:spacing w:line="240" w:lineRule="auto"/>
    </w:pPr>
    <w:rPr>
      <w:rFonts w:ascii="Lucida Grande" w:hAnsi="Lucida Grande" w:cs="Lucida Grande"/>
      <w:sz w:val="18"/>
      <w:szCs w:val="18"/>
    </w:rPr>
  </w:style>
  <w:style w:type="character" w:customStyle="1" w:styleId="TextedebullesCar">
    <w:name w:val="Texte de bulles Car"/>
    <w:link w:val="Textedebulles"/>
    <w:rsid w:val="00722AF3"/>
    <w:rPr>
      <w:rFonts w:ascii="Lucida Grande" w:hAnsi="Lucida Grande" w:cs="Lucida Grande"/>
      <w:kern w:val="28"/>
      <w:sz w:val="18"/>
      <w:szCs w:val="18"/>
      <w:lang w:val="en-GB"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1073</Words>
  <Characters>5902</Characters>
  <Application>Microsoft Office Word</Application>
  <DocSecurity>0</DocSecurity>
  <Lines>49</Lines>
  <Paragraphs>13</Paragraphs>
  <ScaleCrop>false</ScaleCrop>
  <HeadingPairs>
    <vt:vector size="2" baseType="variant">
      <vt:variant>
        <vt:lpstr>Titre</vt:lpstr>
      </vt:variant>
      <vt:variant>
        <vt:i4>1</vt:i4>
      </vt:variant>
    </vt:vector>
  </HeadingPairs>
  <TitlesOfParts>
    <vt:vector size="1" baseType="lpstr">
      <vt:lpstr>Content and Formatting Instructions</vt:lpstr>
    </vt:vector>
  </TitlesOfParts>
  <Company>BRGM</Company>
  <LinksUpToDate>false</LinksUpToDate>
  <CharactersWithSpaces>6962</CharactersWithSpaces>
  <SharedDoc>false</SharedDoc>
  <HLinks>
    <vt:vector size="18" baseType="variant">
      <vt:variant>
        <vt:i4>118</vt:i4>
      </vt:variant>
      <vt:variant>
        <vt:i4>2933</vt:i4>
      </vt:variant>
      <vt:variant>
        <vt:i4>1025</vt:i4>
      </vt:variant>
      <vt:variant>
        <vt:i4>1</vt:i4>
      </vt:variant>
      <vt:variant>
        <vt:lpwstr>mecanisme</vt:lpwstr>
      </vt:variant>
      <vt:variant>
        <vt:lpwstr/>
      </vt:variant>
      <vt:variant>
        <vt:i4>1769582</vt:i4>
      </vt:variant>
      <vt:variant>
        <vt:i4>7353</vt:i4>
      </vt:variant>
      <vt:variant>
        <vt:i4>1026</vt:i4>
      </vt:variant>
      <vt:variant>
        <vt:i4>1</vt:i4>
      </vt:variant>
      <vt:variant>
        <vt:lpwstr>profil-C5</vt:lpwstr>
      </vt:variant>
      <vt:variant>
        <vt:lpwstr/>
      </vt:variant>
      <vt:variant>
        <vt:i4>11534359</vt:i4>
      </vt:variant>
      <vt:variant>
        <vt:i4>7354</vt:i4>
      </vt:variant>
      <vt:variant>
        <vt:i4>1027</vt:i4>
      </vt:variant>
      <vt:variant>
        <vt:i4>1</vt:i4>
      </vt:variant>
      <vt:variant>
        <vt:lpwstr>profils-crhonoséquences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 and Formatting Instructions</dc:title>
  <dc:subject/>
  <dc:creator>ESCAPE-15</dc:creator>
  <cp:keywords/>
  <cp:lastModifiedBy>mpierdet</cp:lastModifiedBy>
  <cp:revision>2</cp:revision>
  <cp:lastPrinted>2004-07-27T17:22:00Z</cp:lastPrinted>
  <dcterms:created xsi:type="dcterms:W3CDTF">2018-07-03T08:40:00Z</dcterms:created>
  <dcterms:modified xsi:type="dcterms:W3CDTF">2018-07-03T08:40:00Z</dcterms:modified>
</cp:coreProperties>
</file>