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D0E" w:rsidRDefault="00280D0E">
      <w:pPr>
        <w:numPr>
          <w:ilvl w:val="12"/>
          <w:numId w:val="0"/>
        </w:numPr>
        <w:rPr>
          <w:rFonts w:ascii="Times New Roman" w:hAnsi="Times New Roman"/>
          <w:b/>
          <w:sz w:val="28"/>
        </w:rPr>
      </w:pPr>
      <w:bookmarkStart w:id="0" w:name="_GoBack"/>
      <w:bookmarkEnd w:id="0"/>
      <w:r>
        <w:rPr>
          <w:rFonts w:ascii="Times New Roman" w:hAnsi="Times New Roman"/>
          <w:b/>
          <w:sz w:val="28"/>
        </w:rPr>
        <w:t xml:space="preserve">Genetic determinism of </w:t>
      </w:r>
      <w:r w:rsidR="00AB74DD">
        <w:rPr>
          <w:rFonts w:ascii="Times New Roman" w:hAnsi="Times New Roman"/>
          <w:b/>
          <w:sz w:val="28"/>
        </w:rPr>
        <w:t>cortisol levels</w:t>
      </w:r>
      <w:r>
        <w:rPr>
          <w:rFonts w:ascii="Times New Roman" w:hAnsi="Times New Roman"/>
          <w:b/>
          <w:sz w:val="28"/>
        </w:rPr>
        <w:t xml:space="preserve"> in pig</w:t>
      </w:r>
    </w:p>
    <w:p w:rsidR="00280D0E" w:rsidRDefault="00280D0E">
      <w:pPr>
        <w:numPr>
          <w:ilvl w:val="12"/>
          <w:numId w:val="0"/>
        </w:numPr>
        <w:rPr>
          <w:rFonts w:ascii="Times New Roman" w:hAnsi="Times New Roman"/>
          <w:color w:val="C0C0C0"/>
          <w:sz w:val="24"/>
        </w:rPr>
      </w:pPr>
    </w:p>
    <w:p w:rsidR="00280D0E" w:rsidRPr="00596F48" w:rsidRDefault="00280D0E">
      <w:pPr>
        <w:numPr>
          <w:ilvl w:val="12"/>
          <w:numId w:val="0"/>
        </w:numPr>
        <w:rPr>
          <w:rFonts w:ascii="Times New Roman" w:hAnsi="Times New Roman"/>
          <w:i/>
          <w:color w:val="C0C0C0"/>
          <w:sz w:val="24"/>
          <w:lang w:val="en-US"/>
        </w:rPr>
      </w:pPr>
      <w:r w:rsidRPr="00596F48">
        <w:rPr>
          <w:rFonts w:ascii="Times New Roman" w:hAnsi="Times New Roman"/>
          <w:i/>
          <w:sz w:val="24"/>
          <w:lang w:val="en-US"/>
        </w:rPr>
        <w:t>C</w:t>
      </w:r>
      <w:r w:rsidR="0049285A" w:rsidRPr="00596F48">
        <w:rPr>
          <w:rFonts w:ascii="Times New Roman" w:hAnsi="Times New Roman"/>
          <w:i/>
          <w:sz w:val="24"/>
          <w:lang w:val="en-US"/>
        </w:rPr>
        <w:t xml:space="preserve">. </w:t>
      </w:r>
      <w:r w:rsidRPr="00596F48">
        <w:rPr>
          <w:rFonts w:ascii="Times New Roman" w:hAnsi="Times New Roman"/>
          <w:i/>
          <w:sz w:val="24"/>
          <w:lang w:val="en-US"/>
        </w:rPr>
        <w:t>Larzul</w:t>
      </w:r>
      <w:r w:rsidR="00CD4105" w:rsidRPr="00596F48">
        <w:rPr>
          <w:rFonts w:ascii="Times New Roman" w:hAnsi="Times New Roman"/>
          <w:i/>
          <w:sz w:val="24"/>
          <w:vertAlign w:val="superscript"/>
          <w:lang w:val="en-US"/>
        </w:rPr>
        <w:t>1</w:t>
      </w:r>
      <w:r w:rsidR="0049285A" w:rsidRPr="00596F48">
        <w:rPr>
          <w:rFonts w:ascii="Times New Roman" w:hAnsi="Times New Roman"/>
          <w:i/>
          <w:sz w:val="24"/>
          <w:lang w:val="en-US"/>
        </w:rPr>
        <w:t xml:space="preserve">, </w:t>
      </w:r>
      <w:r w:rsidRPr="00596F48">
        <w:rPr>
          <w:rFonts w:ascii="Times New Roman" w:hAnsi="Times New Roman"/>
          <w:i/>
          <w:sz w:val="24"/>
          <w:lang w:val="en-US"/>
        </w:rPr>
        <w:t>E.</w:t>
      </w:r>
      <w:r w:rsidR="0049285A" w:rsidRPr="00596F48">
        <w:rPr>
          <w:rFonts w:ascii="Times New Roman" w:hAnsi="Times New Roman"/>
          <w:i/>
          <w:sz w:val="24"/>
          <w:lang w:val="en-US"/>
        </w:rPr>
        <w:t xml:space="preserve"> </w:t>
      </w:r>
      <w:r w:rsidR="00596F48" w:rsidRPr="00596F48">
        <w:rPr>
          <w:rFonts w:ascii="Times New Roman" w:hAnsi="Times New Roman"/>
          <w:i/>
          <w:sz w:val="24"/>
          <w:lang w:val="en-US"/>
        </w:rPr>
        <w:t>Terenina</w:t>
      </w:r>
      <w:r w:rsidRPr="00596F48">
        <w:rPr>
          <w:rFonts w:ascii="Times New Roman" w:hAnsi="Times New Roman"/>
          <w:i/>
          <w:sz w:val="24"/>
          <w:vertAlign w:val="superscript"/>
          <w:lang w:val="en-US"/>
        </w:rPr>
        <w:t>1</w:t>
      </w:r>
      <w:r w:rsidRPr="00596F48">
        <w:rPr>
          <w:rFonts w:ascii="Times New Roman" w:hAnsi="Times New Roman"/>
          <w:i/>
          <w:sz w:val="24"/>
          <w:lang w:val="en-US"/>
        </w:rPr>
        <w:t>, Y. Billon</w:t>
      </w:r>
      <w:r w:rsidR="002D13E9" w:rsidRPr="00596F48">
        <w:rPr>
          <w:rFonts w:ascii="Times New Roman" w:hAnsi="Times New Roman"/>
          <w:i/>
          <w:sz w:val="24"/>
          <w:vertAlign w:val="superscript"/>
          <w:lang w:val="en-US"/>
        </w:rPr>
        <w:t>2</w:t>
      </w:r>
      <w:r w:rsidR="00AE1CF2" w:rsidRPr="00596F48">
        <w:rPr>
          <w:rFonts w:ascii="Times New Roman" w:hAnsi="Times New Roman"/>
          <w:i/>
          <w:sz w:val="24"/>
          <w:lang w:val="en-US"/>
        </w:rPr>
        <w:t xml:space="preserve">, </w:t>
      </w:r>
      <w:r w:rsidR="00AE1CF2">
        <w:rPr>
          <w:rFonts w:ascii="Times New Roman" w:hAnsi="Times New Roman"/>
          <w:i/>
          <w:sz w:val="24"/>
          <w:lang w:val="en-US"/>
        </w:rPr>
        <w:t>L</w:t>
      </w:r>
      <w:r w:rsidR="00AE1CF2" w:rsidRPr="00596F48">
        <w:rPr>
          <w:rFonts w:ascii="Times New Roman" w:hAnsi="Times New Roman"/>
          <w:i/>
          <w:sz w:val="24"/>
          <w:lang w:val="en-US"/>
        </w:rPr>
        <w:t xml:space="preserve">. </w:t>
      </w:r>
      <w:r w:rsidR="00AE1CF2">
        <w:rPr>
          <w:rFonts w:ascii="Times New Roman" w:hAnsi="Times New Roman"/>
          <w:i/>
          <w:sz w:val="24"/>
          <w:lang w:val="en-US"/>
        </w:rPr>
        <w:t>Gress</w:t>
      </w:r>
      <w:r w:rsidR="00AE1CF2" w:rsidRPr="00596F48">
        <w:rPr>
          <w:rFonts w:ascii="Times New Roman" w:hAnsi="Times New Roman"/>
          <w:i/>
          <w:sz w:val="24"/>
          <w:vertAlign w:val="superscript"/>
          <w:lang w:val="en-US"/>
        </w:rPr>
        <w:t>1</w:t>
      </w:r>
      <w:r w:rsidR="00AE1CF2" w:rsidRPr="00596F48">
        <w:rPr>
          <w:rFonts w:ascii="Times New Roman" w:hAnsi="Times New Roman"/>
          <w:i/>
          <w:sz w:val="24"/>
          <w:lang w:val="en-US"/>
        </w:rPr>
        <w:t xml:space="preserve"> </w:t>
      </w:r>
      <w:r w:rsidR="0049285A" w:rsidRPr="00596F48">
        <w:rPr>
          <w:rFonts w:ascii="Times New Roman" w:hAnsi="Times New Roman"/>
          <w:i/>
          <w:sz w:val="24"/>
          <w:lang w:val="en-US"/>
        </w:rPr>
        <w:t xml:space="preserve">&amp; </w:t>
      </w:r>
      <w:r w:rsidRPr="00596F48">
        <w:rPr>
          <w:rFonts w:ascii="Times New Roman" w:hAnsi="Times New Roman"/>
          <w:i/>
          <w:sz w:val="24"/>
          <w:lang w:val="en-US"/>
        </w:rPr>
        <w:t>P</w:t>
      </w:r>
      <w:r w:rsidR="0049285A" w:rsidRPr="00596F48">
        <w:rPr>
          <w:rFonts w:ascii="Times New Roman" w:hAnsi="Times New Roman"/>
          <w:i/>
          <w:sz w:val="24"/>
          <w:lang w:val="en-US"/>
        </w:rPr>
        <w:t xml:space="preserve">. </w:t>
      </w:r>
      <w:r w:rsidRPr="00596F48">
        <w:rPr>
          <w:rFonts w:ascii="Times New Roman" w:hAnsi="Times New Roman"/>
          <w:i/>
          <w:sz w:val="24"/>
          <w:lang w:val="en-US"/>
        </w:rPr>
        <w:t>Morm</w:t>
      </w:r>
      <w:r w:rsidR="008C0CF5">
        <w:rPr>
          <w:rFonts w:ascii="Times New Roman" w:hAnsi="Times New Roman"/>
          <w:i/>
          <w:sz w:val="24"/>
          <w:lang w:val="en-US"/>
        </w:rPr>
        <w:t>e</w:t>
      </w:r>
      <w:r w:rsidRPr="00596F48">
        <w:rPr>
          <w:rFonts w:ascii="Times New Roman" w:hAnsi="Times New Roman"/>
          <w:i/>
          <w:sz w:val="24"/>
          <w:lang w:val="en-US"/>
        </w:rPr>
        <w:t>de</w:t>
      </w:r>
      <w:r w:rsidRPr="00596F48">
        <w:rPr>
          <w:rFonts w:ascii="Times New Roman" w:hAnsi="Times New Roman"/>
          <w:i/>
          <w:sz w:val="24"/>
          <w:vertAlign w:val="superscript"/>
          <w:lang w:val="en-US"/>
        </w:rPr>
        <w:t>1</w:t>
      </w:r>
      <w:r w:rsidR="00CD4105" w:rsidRPr="00596F48">
        <w:rPr>
          <w:rFonts w:ascii="Times New Roman" w:hAnsi="Times New Roman"/>
          <w:color w:val="C0C0C0"/>
          <w:sz w:val="24"/>
          <w:lang w:val="en-US"/>
        </w:rPr>
        <w:t xml:space="preserve"> </w:t>
      </w:r>
    </w:p>
    <w:p w:rsidR="00280D0E" w:rsidRDefault="00280D0E">
      <w:pPr>
        <w:overflowPunct/>
        <w:ind w:right="-143"/>
        <w:textAlignment w:val="auto"/>
        <w:rPr>
          <w:rFonts w:ascii="Times New Roman" w:hAnsi="Times New Roman"/>
          <w:color w:val="C0C0C0"/>
          <w:sz w:val="24"/>
          <w:lang w:val="it-IT"/>
        </w:rPr>
      </w:pPr>
    </w:p>
    <w:p w:rsidR="0049285A" w:rsidRDefault="00CD4105">
      <w:pPr>
        <w:overflowPunct/>
        <w:ind w:right="-143"/>
        <w:textAlignment w:val="auto"/>
        <w:rPr>
          <w:rFonts w:ascii="Times New Roman" w:hAnsi="Times New Roman"/>
          <w:i/>
          <w:sz w:val="24"/>
          <w:lang w:val="it-IT"/>
        </w:rPr>
      </w:pPr>
      <w:r w:rsidRPr="0049285A">
        <w:rPr>
          <w:rFonts w:ascii="Times New Roman" w:hAnsi="Times New Roman"/>
          <w:i/>
          <w:sz w:val="24"/>
          <w:vertAlign w:val="superscript"/>
          <w:lang w:val="it-IT"/>
        </w:rPr>
        <w:t xml:space="preserve">1 </w:t>
      </w:r>
      <w:r w:rsidR="00280D0E">
        <w:rPr>
          <w:rFonts w:ascii="Times New Roman" w:hAnsi="Times New Roman"/>
          <w:i/>
          <w:sz w:val="24"/>
          <w:lang w:val="it-IT"/>
        </w:rPr>
        <w:t xml:space="preserve">GenPhySE, </w:t>
      </w:r>
      <w:r w:rsidR="00AE1CF2" w:rsidRPr="00D06F27">
        <w:rPr>
          <w:rFonts w:ascii="Times New Roman" w:hAnsi="Times New Roman"/>
          <w:i/>
          <w:sz w:val="24"/>
          <w:lang w:val="it-IT"/>
        </w:rPr>
        <w:t>Université de Toulouse,</w:t>
      </w:r>
      <w:r w:rsidR="00AE1CF2">
        <w:rPr>
          <w:rFonts w:ascii="Times New Roman" w:hAnsi="Times New Roman"/>
          <w:i/>
          <w:sz w:val="24"/>
          <w:lang w:val="it-IT"/>
        </w:rPr>
        <w:t xml:space="preserve"> </w:t>
      </w:r>
      <w:r w:rsidR="00AE1CF2" w:rsidRPr="00D06F27">
        <w:rPr>
          <w:rFonts w:ascii="Times New Roman" w:hAnsi="Times New Roman"/>
          <w:i/>
          <w:sz w:val="24"/>
          <w:lang w:val="it-IT"/>
        </w:rPr>
        <w:t xml:space="preserve">INRA, INPT, </w:t>
      </w:r>
      <w:r w:rsidR="00AE1CF2">
        <w:rPr>
          <w:rFonts w:ascii="Times New Roman" w:hAnsi="Times New Roman"/>
          <w:i/>
          <w:sz w:val="24"/>
          <w:lang w:val="it-IT"/>
        </w:rPr>
        <w:t>ENVT</w:t>
      </w:r>
      <w:r w:rsidR="00AE1CF2" w:rsidRPr="00D06F27">
        <w:rPr>
          <w:rFonts w:ascii="Times New Roman" w:hAnsi="Times New Roman"/>
          <w:i/>
          <w:sz w:val="24"/>
          <w:lang w:val="it-IT"/>
        </w:rPr>
        <w:t xml:space="preserve">, </w:t>
      </w:r>
      <w:r w:rsidR="00AE1CF2">
        <w:rPr>
          <w:rFonts w:ascii="Times New Roman" w:hAnsi="Times New Roman"/>
          <w:i/>
          <w:sz w:val="24"/>
          <w:lang w:val="it-IT"/>
        </w:rPr>
        <w:t>31326</w:t>
      </w:r>
      <w:r w:rsidR="00AE1CF2" w:rsidRPr="0049285A">
        <w:rPr>
          <w:rFonts w:ascii="Times New Roman" w:hAnsi="Times New Roman"/>
          <w:i/>
          <w:sz w:val="24"/>
          <w:lang w:val="it-IT"/>
        </w:rPr>
        <w:t xml:space="preserve"> </w:t>
      </w:r>
      <w:r w:rsidR="00280D0E">
        <w:rPr>
          <w:rFonts w:ascii="Times New Roman" w:hAnsi="Times New Roman"/>
          <w:i/>
          <w:sz w:val="24"/>
          <w:lang w:val="it-IT"/>
        </w:rPr>
        <w:t>Castanet-Tolosan</w:t>
      </w:r>
      <w:r w:rsidRPr="0049285A">
        <w:rPr>
          <w:rFonts w:ascii="Times New Roman" w:hAnsi="Times New Roman"/>
          <w:i/>
          <w:sz w:val="24"/>
          <w:lang w:val="it-IT"/>
        </w:rPr>
        <w:t xml:space="preserve">, </w:t>
      </w:r>
      <w:r w:rsidR="00280D0E">
        <w:rPr>
          <w:rFonts w:ascii="Times New Roman" w:hAnsi="Times New Roman"/>
          <w:i/>
          <w:sz w:val="24"/>
          <w:lang w:val="it-IT"/>
        </w:rPr>
        <w:t>France</w:t>
      </w:r>
      <w:r w:rsidR="0049285A">
        <w:rPr>
          <w:rFonts w:ascii="Times New Roman" w:hAnsi="Times New Roman"/>
          <w:i/>
          <w:sz w:val="24"/>
          <w:lang w:val="it-IT"/>
        </w:rPr>
        <w:t xml:space="preserve"> </w:t>
      </w:r>
    </w:p>
    <w:p w:rsidR="00CD4105" w:rsidRPr="0049285A" w:rsidRDefault="00280D0E">
      <w:pPr>
        <w:overflowPunct/>
        <w:ind w:right="-143"/>
        <w:textAlignment w:val="auto"/>
        <w:rPr>
          <w:rFonts w:ascii="Times New Roman" w:hAnsi="Times New Roman"/>
          <w:i/>
          <w:sz w:val="24"/>
        </w:rPr>
      </w:pPr>
      <w:hyperlink r:id="rId8" w:history="1">
        <w:r w:rsidRPr="004A1E58">
          <w:rPr>
            <w:rStyle w:val="Lienhypertexte"/>
            <w:rFonts w:ascii="Times New Roman" w:hAnsi="Times New Roman"/>
            <w:i/>
            <w:sz w:val="24"/>
          </w:rPr>
          <w:t>catherine.larzul@inra.fr</w:t>
        </w:r>
      </w:hyperlink>
      <w:r w:rsidR="0049285A" w:rsidRPr="0049285A">
        <w:rPr>
          <w:rFonts w:ascii="Times New Roman" w:hAnsi="Times New Roman"/>
          <w:i/>
          <w:sz w:val="24"/>
        </w:rPr>
        <w:t xml:space="preserve"> (Corresponding Author</w:t>
      </w:r>
      <w:r w:rsidR="0049285A">
        <w:rPr>
          <w:rFonts w:ascii="Times New Roman" w:hAnsi="Times New Roman"/>
          <w:i/>
          <w:sz w:val="24"/>
        </w:rPr>
        <w:t>)</w:t>
      </w:r>
    </w:p>
    <w:p w:rsidR="00280D0E" w:rsidRPr="00AE1CF2" w:rsidRDefault="00CD4105">
      <w:pPr>
        <w:numPr>
          <w:ilvl w:val="12"/>
          <w:numId w:val="0"/>
        </w:numPr>
        <w:rPr>
          <w:rFonts w:ascii="Times New Roman" w:hAnsi="Times New Roman"/>
          <w:i/>
          <w:sz w:val="24"/>
          <w:lang w:val="fr-FR"/>
        </w:rPr>
      </w:pPr>
      <w:r w:rsidRPr="00AE1CF2">
        <w:rPr>
          <w:rFonts w:ascii="Times New Roman" w:hAnsi="Times New Roman"/>
          <w:i/>
          <w:sz w:val="24"/>
          <w:vertAlign w:val="superscript"/>
          <w:lang w:val="fr-FR"/>
        </w:rPr>
        <w:t xml:space="preserve">2 </w:t>
      </w:r>
      <w:r w:rsidR="00AE1CF2" w:rsidRPr="00AE1CF2">
        <w:rPr>
          <w:rFonts w:ascii="Times New Roman" w:hAnsi="Times New Roman"/>
          <w:i/>
          <w:sz w:val="24"/>
          <w:lang w:val="fr-FR"/>
        </w:rPr>
        <w:t>GenESI, INRA, 17700 Surgères, France.</w:t>
      </w:r>
      <w:r w:rsidR="00280D0E" w:rsidRPr="00AE1CF2">
        <w:rPr>
          <w:rFonts w:ascii="Times New Roman" w:hAnsi="Times New Roman"/>
          <w:i/>
          <w:sz w:val="24"/>
          <w:lang w:val="fr-FR"/>
        </w:rPr>
        <w:t xml:space="preserve"> </w:t>
      </w:r>
    </w:p>
    <w:p w:rsidR="00280D0E" w:rsidRDefault="00280D0E">
      <w:pPr>
        <w:numPr>
          <w:ilvl w:val="12"/>
          <w:numId w:val="0"/>
        </w:numPr>
        <w:rPr>
          <w:rFonts w:ascii="Times New Roman" w:hAnsi="Times New Roman"/>
          <w:color w:val="C0C0C0"/>
          <w:sz w:val="24"/>
          <w:lang w:val="fr-FR"/>
        </w:rPr>
      </w:pPr>
    </w:p>
    <w:p w:rsidR="00E137E1" w:rsidRPr="00AE1CF2" w:rsidRDefault="00E137E1" w:rsidP="00E137E1">
      <w:pPr>
        <w:numPr>
          <w:ilvl w:val="12"/>
          <w:numId w:val="0"/>
        </w:numPr>
        <w:rPr>
          <w:rFonts w:ascii="Times New Roman" w:hAnsi="Times New Roman"/>
          <w:b/>
          <w:sz w:val="28"/>
        </w:rPr>
      </w:pPr>
      <w:r>
        <w:rPr>
          <w:rFonts w:ascii="Times New Roman" w:hAnsi="Times New Roman"/>
          <w:b/>
          <w:sz w:val="28"/>
        </w:rPr>
        <w:t>Summary</w:t>
      </w:r>
    </w:p>
    <w:p w:rsidR="00E137E1" w:rsidRDefault="00E137E1" w:rsidP="00E137E1">
      <w:pPr>
        <w:numPr>
          <w:ilvl w:val="12"/>
          <w:numId w:val="0"/>
        </w:numPr>
        <w:jc w:val="both"/>
        <w:rPr>
          <w:rFonts w:ascii="Times New Roman" w:hAnsi="Times New Roman"/>
          <w:sz w:val="24"/>
        </w:rPr>
      </w:pPr>
    </w:p>
    <w:p w:rsidR="00E137E1" w:rsidRDefault="00E137E1" w:rsidP="00E137E1">
      <w:pPr>
        <w:numPr>
          <w:ilvl w:val="12"/>
          <w:numId w:val="0"/>
        </w:numPr>
        <w:jc w:val="both"/>
        <w:rPr>
          <w:rFonts w:ascii="Times New Roman" w:hAnsi="Times New Roman"/>
          <w:sz w:val="24"/>
        </w:rPr>
      </w:pPr>
      <w:r>
        <w:rPr>
          <w:rFonts w:ascii="Times New Roman" w:hAnsi="Times New Roman"/>
          <w:sz w:val="24"/>
        </w:rPr>
        <w:t xml:space="preserve">The </w:t>
      </w:r>
      <w:r w:rsidRPr="00AE1CF2">
        <w:rPr>
          <w:rFonts w:ascii="Times New Roman" w:hAnsi="Times New Roman"/>
          <w:sz w:val="24"/>
        </w:rPr>
        <w:t>plasma cortisol levels measured one hour after injection of ACTH</w:t>
      </w:r>
      <w:r>
        <w:rPr>
          <w:rFonts w:ascii="Times New Roman" w:hAnsi="Times New Roman"/>
          <w:sz w:val="24"/>
        </w:rPr>
        <w:t xml:space="preserve"> reflects t</w:t>
      </w:r>
      <w:r w:rsidRPr="00AE1CF2">
        <w:rPr>
          <w:rFonts w:ascii="Times New Roman" w:hAnsi="Times New Roman"/>
          <w:sz w:val="24"/>
        </w:rPr>
        <w:t>he hypothalamic-pituitary-adrenocortical (HPA) axis activity</w:t>
      </w:r>
      <w:r>
        <w:rPr>
          <w:rFonts w:ascii="Times New Roman" w:hAnsi="Times New Roman"/>
          <w:sz w:val="24"/>
        </w:rPr>
        <w:t>. The test was performed on piglets at 6 weeks of age. It was investigated as a potential selection criterion to improve pig robustness</w:t>
      </w:r>
      <w:r w:rsidRPr="00AE1CF2">
        <w:rPr>
          <w:rFonts w:ascii="Times New Roman" w:hAnsi="Times New Roman"/>
          <w:sz w:val="24"/>
        </w:rPr>
        <w:t>.</w:t>
      </w:r>
      <w:r>
        <w:rPr>
          <w:rFonts w:ascii="Times New Roman" w:hAnsi="Times New Roman"/>
          <w:sz w:val="24"/>
        </w:rPr>
        <w:t xml:space="preserve"> From a base population of Large White pigs, two divergent lines were derived for 3 generations of selection, one selected for a high cortisol level (H line), one for a low cortisol level (L line). All breeders, as well as unselected animals, were also genotyped on a 70kSNP chip. At the 3</w:t>
      </w:r>
      <w:r w:rsidRPr="00AE1CF2">
        <w:rPr>
          <w:rFonts w:ascii="Times New Roman" w:hAnsi="Times New Roman"/>
          <w:sz w:val="24"/>
          <w:vertAlign w:val="superscript"/>
        </w:rPr>
        <w:t>rd</w:t>
      </w:r>
      <w:r>
        <w:rPr>
          <w:rFonts w:ascii="Times New Roman" w:hAnsi="Times New Roman"/>
          <w:sz w:val="24"/>
        </w:rPr>
        <w:t xml:space="preserve"> generation of selection, the divergence between the two lines was about 5 genetic standard deviations. The high heritability of the trait was confirmed (h² = 0.64 ± 0.03). The genetic correlations with individual body weights and growth rates measured during lactation, post weaning and finishing periods were very low except for the genetic correlation between cortisol level and post-weaning growth rate (r</w:t>
      </w:r>
      <w:r w:rsidRPr="00AE1CF2">
        <w:rPr>
          <w:rFonts w:ascii="Times New Roman" w:hAnsi="Times New Roman"/>
          <w:sz w:val="24"/>
          <w:vertAlign w:val="subscript"/>
        </w:rPr>
        <w:t>g</w:t>
      </w:r>
      <w:r>
        <w:rPr>
          <w:rFonts w:ascii="Times New Roman" w:hAnsi="Times New Roman"/>
          <w:sz w:val="24"/>
        </w:rPr>
        <w:t xml:space="preserve">=-0.22 ± 0.10). The genome-wide association study revealed a quantitative trait locus influencing post-ACTH cortisol level, located on chromosome 2. It was suggested that divergent selection modified the frequency of </w:t>
      </w:r>
      <w:r w:rsidRPr="00AE1CF2">
        <w:rPr>
          <w:rFonts w:ascii="Times New Roman" w:hAnsi="Times New Roman"/>
          <w:i/>
          <w:sz w:val="24"/>
        </w:rPr>
        <w:t>NR3C1</w:t>
      </w:r>
      <w:r>
        <w:rPr>
          <w:rFonts w:ascii="Times New Roman" w:hAnsi="Times New Roman"/>
          <w:sz w:val="24"/>
        </w:rPr>
        <w:t xml:space="preserve"> alleles, favouring the hypersensitive glucocorticoid receptor in the low line.</w:t>
      </w:r>
    </w:p>
    <w:p w:rsidR="00E137E1" w:rsidRDefault="00E137E1" w:rsidP="00E137E1">
      <w:pPr>
        <w:numPr>
          <w:ilvl w:val="12"/>
          <w:numId w:val="0"/>
        </w:numPr>
        <w:rPr>
          <w:rFonts w:ascii="Times New Roman" w:hAnsi="Times New Roman"/>
          <w:color w:val="C0C0C0"/>
          <w:sz w:val="24"/>
        </w:rPr>
      </w:pPr>
    </w:p>
    <w:p w:rsidR="00E137E1" w:rsidRDefault="00E137E1" w:rsidP="00E137E1">
      <w:pPr>
        <w:numPr>
          <w:ilvl w:val="12"/>
          <w:numId w:val="0"/>
        </w:numPr>
        <w:rPr>
          <w:rFonts w:ascii="Times New Roman" w:hAnsi="Times New Roman"/>
          <w:sz w:val="24"/>
        </w:rPr>
      </w:pPr>
      <w:r>
        <w:rPr>
          <w:rFonts w:ascii="Times New Roman" w:hAnsi="Times New Roman"/>
          <w:i/>
          <w:sz w:val="24"/>
        </w:rPr>
        <w:t xml:space="preserve">Keywords: pig, robustness, cortisol, genetics, GWAS </w:t>
      </w:r>
    </w:p>
    <w:p w:rsidR="00E137E1" w:rsidRDefault="00E137E1" w:rsidP="00E137E1">
      <w:pPr>
        <w:numPr>
          <w:ilvl w:val="12"/>
          <w:numId w:val="0"/>
        </w:numPr>
        <w:rPr>
          <w:rFonts w:ascii="Times New Roman" w:hAnsi="Times New Roman"/>
          <w:color w:val="C0C0C0"/>
          <w:sz w:val="24"/>
        </w:rPr>
      </w:pPr>
    </w:p>
    <w:p w:rsidR="00CD124A" w:rsidRPr="00E137E1" w:rsidRDefault="00CD124A">
      <w:pPr>
        <w:numPr>
          <w:ilvl w:val="12"/>
          <w:numId w:val="0"/>
        </w:numPr>
        <w:rPr>
          <w:rFonts w:ascii="Times New Roman" w:hAnsi="Times New Roman"/>
          <w:color w:val="C0C0C0"/>
          <w:sz w:val="24"/>
        </w:rPr>
      </w:pPr>
    </w:p>
    <w:p w:rsidR="00CD4105" w:rsidRDefault="00CD4105">
      <w:pPr>
        <w:numPr>
          <w:ilvl w:val="12"/>
          <w:numId w:val="0"/>
        </w:numPr>
        <w:rPr>
          <w:rFonts w:ascii="Times New Roman" w:hAnsi="Times New Roman"/>
          <w:sz w:val="24"/>
        </w:rPr>
      </w:pPr>
      <w:r>
        <w:rPr>
          <w:rFonts w:ascii="Times New Roman" w:hAnsi="Times New Roman"/>
          <w:b/>
          <w:sz w:val="28"/>
        </w:rPr>
        <w:t xml:space="preserve">Introduction </w:t>
      </w:r>
    </w:p>
    <w:p w:rsidR="00280D0E" w:rsidRDefault="00280D0E">
      <w:pPr>
        <w:numPr>
          <w:ilvl w:val="12"/>
          <w:numId w:val="0"/>
        </w:numPr>
        <w:tabs>
          <w:tab w:val="left" w:pos="142"/>
        </w:tabs>
        <w:jc w:val="both"/>
        <w:rPr>
          <w:rFonts w:ascii="Times New Roman" w:hAnsi="Times New Roman"/>
          <w:color w:val="C0C0C0"/>
          <w:sz w:val="24"/>
        </w:rPr>
      </w:pPr>
    </w:p>
    <w:p w:rsidR="00CD4105" w:rsidRDefault="00611ADE" w:rsidP="00596F48">
      <w:pPr>
        <w:numPr>
          <w:ilvl w:val="12"/>
          <w:numId w:val="0"/>
        </w:numPr>
        <w:jc w:val="both"/>
        <w:rPr>
          <w:rFonts w:ascii="Times New Roman" w:hAnsi="Times New Roman"/>
          <w:sz w:val="24"/>
        </w:rPr>
      </w:pPr>
      <w:r w:rsidRPr="00611ADE">
        <w:rPr>
          <w:rFonts w:ascii="Times New Roman" w:hAnsi="Times New Roman"/>
          <w:sz w:val="24"/>
        </w:rPr>
        <w:t>Pig production</w:t>
      </w:r>
      <w:r w:rsidR="00DF40AF" w:rsidRPr="00611ADE">
        <w:rPr>
          <w:rFonts w:ascii="Times New Roman" w:hAnsi="Times New Roman"/>
          <w:sz w:val="24"/>
        </w:rPr>
        <w:t xml:space="preserve"> is more and more challenged by antibiotics use, environment control with</w:t>
      </w:r>
      <w:r w:rsidR="00DF40AF">
        <w:rPr>
          <w:rFonts w:ascii="Times New Roman" w:hAnsi="Times New Roman"/>
          <w:sz w:val="24"/>
        </w:rPr>
        <w:t xml:space="preserve"> climate change, feed competition and animal welfare. To face these challenges, animal breeding and genetics can provide a sustainable option by improving animal robustness</w:t>
      </w:r>
      <w:r w:rsidR="006126B7">
        <w:rPr>
          <w:rFonts w:ascii="Times New Roman" w:hAnsi="Times New Roman"/>
          <w:sz w:val="24"/>
        </w:rPr>
        <w:t xml:space="preserve">. </w:t>
      </w:r>
      <w:r>
        <w:rPr>
          <w:rFonts w:ascii="Times New Roman" w:hAnsi="Times New Roman"/>
          <w:sz w:val="24"/>
        </w:rPr>
        <w:t>However, the major issue is</w:t>
      </w:r>
      <w:r w:rsidR="00DF40AF">
        <w:rPr>
          <w:rFonts w:ascii="Times New Roman" w:hAnsi="Times New Roman"/>
          <w:sz w:val="24"/>
        </w:rPr>
        <w:t xml:space="preserve"> to provide </w:t>
      </w:r>
      <w:r w:rsidR="00596F48">
        <w:rPr>
          <w:rFonts w:ascii="Times New Roman" w:hAnsi="Times New Roman"/>
          <w:sz w:val="24"/>
        </w:rPr>
        <w:t xml:space="preserve">new selection criteria </w:t>
      </w:r>
      <w:r w:rsidR="00AE1CF2">
        <w:rPr>
          <w:rFonts w:ascii="Times New Roman" w:hAnsi="Times New Roman"/>
          <w:sz w:val="24"/>
        </w:rPr>
        <w:t xml:space="preserve">related </w:t>
      </w:r>
      <w:r w:rsidR="00596F48">
        <w:rPr>
          <w:rFonts w:ascii="Times New Roman" w:hAnsi="Times New Roman"/>
          <w:sz w:val="24"/>
        </w:rPr>
        <w:t xml:space="preserve">to robustness. </w:t>
      </w:r>
      <w:r w:rsidR="00280D0E" w:rsidRPr="00596F48">
        <w:rPr>
          <w:rFonts w:ascii="Times New Roman" w:hAnsi="Times New Roman"/>
          <w:sz w:val="24"/>
        </w:rPr>
        <w:t xml:space="preserve">The hypothalamic-pituitary-adrenocortical (HPA) axis plays a major role in </w:t>
      </w:r>
      <w:r w:rsidR="00596F48">
        <w:rPr>
          <w:rFonts w:ascii="Times New Roman" w:hAnsi="Times New Roman"/>
          <w:sz w:val="24"/>
        </w:rPr>
        <w:t>metabolic regulations and adaptive response</w:t>
      </w:r>
      <w:r w:rsidR="002B6856">
        <w:rPr>
          <w:rFonts w:ascii="Times New Roman" w:hAnsi="Times New Roman"/>
          <w:sz w:val="24"/>
        </w:rPr>
        <w:t>s</w:t>
      </w:r>
      <w:r w:rsidR="00596F48">
        <w:rPr>
          <w:rFonts w:ascii="Times New Roman" w:hAnsi="Times New Roman"/>
          <w:sz w:val="24"/>
        </w:rPr>
        <w:t xml:space="preserve"> and </w:t>
      </w:r>
      <w:r w:rsidR="00DB1D4D">
        <w:rPr>
          <w:rFonts w:ascii="Times New Roman" w:hAnsi="Times New Roman"/>
          <w:sz w:val="24"/>
        </w:rPr>
        <w:t xml:space="preserve">could </w:t>
      </w:r>
      <w:r w:rsidR="00596F48">
        <w:rPr>
          <w:rFonts w:ascii="Times New Roman" w:hAnsi="Times New Roman"/>
          <w:sz w:val="24"/>
        </w:rPr>
        <w:t>provide a potential leverage for more robust animals (Morm</w:t>
      </w:r>
      <w:r w:rsidR="00AE1CF2">
        <w:rPr>
          <w:rFonts w:ascii="Times New Roman" w:hAnsi="Times New Roman"/>
          <w:sz w:val="24"/>
        </w:rPr>
        <w:t>e</w:t>
      </w:r>
      <w:r w:rsidR="00596F48">
        <w:rPr>
          <w:rFonts w:ascii="Times New Roman" w:hAnsi="Times New Roman"/>
          <w:sz w:val="24"/>
        </w:rPr>
        <w:t>de &amp; Terenina, 2012)</w:t>
      </w:r>
      <w:r w:rsidR="00280D0E" w:rsidRPr="00596F48">
        <w:rPr>
          <w:rFonts w:ascii="Times New Roman" w:hAnsi="Times New Roman"/>
          <w:sz w:val="24"/>
        </w:rPr>
        <w:t xml:space="preserve">. </w:t>
      </w:r>
      <w:r w:rsidR="00596F48">
        <w:rPr>
          <w:rFonts w:ascii="Times New Roman" w:hAnsi="Times New Roman"/>
          <w:sz w:val="24"/>
        </w:rPr>
        <w:t xml:space="preserve">To undermine </w:t>
      </w:r>
      <w:r w:rsidR="008C1D5D">
        <w:rPr>
          <w:rFonts w:ascii="Times New Roman" w:hAnsi="Times New Roman"/>
          <w:sz w:val="24"/>
        </w:rPr>
        <w:t xml:space="preserve">the </w:t>
      </w:r>
      <w:r w:rsidR="00596F48">
        <w:rPr>
          <w:rFonts w:ascii="Times New Roman" w:hAnsi="Times New Roman"/>
          <w:sz w:val="24"/>
        </w:rPr>
        <w:t>genetic determinism of HPA activity and its influence on functional traits</w:t>
      </w:r>
      <w:r w:rsidR="00DF40AF">
        <w:rPr>
          <w:rFonts w:ascii="Times New Roman" w:hAnsi="Times New Roman"/>
          <w:sz w:val="24"/>
        </w:rPr>
        <w:t xml:space="preserve"> and robustness</w:t>
      </w:r>
      <w:r w:rsidR="00596F48">
        <w:rPr>
          <w:rFonts w:ascii="Times New Roman" w:hAnsi="Times New Roman"/>
          <w:sz w:val="24"/>
        </w:rPr>
        <w:t>, a divergent selection experiment was carried out in a Large White pig population</w:t>
      </w:r>
      <w:r w:rsidR="00AE1CF2">
        <w:rPr>
          <w:rFonts w:ascii="Times New Roman" w:hAnsi="Times New Roman"/>
          <w:sz w:val="24"/>
        </w:rPr>
        <w:t xml:space="preserve"> </w:t>
      </w:r>
      <w:r w:rsidR="00AE1CF2" w:rsidRPr="00AE1CF2">
        <w:rPr>
          <w:rFonts w:ascii="Times New Roman" w:hAnsi="Times New Roman"/>
          <w:sz w:val="24"/>
        </w:rPr>
        <w:t>on the basis of plasma cortisol levels measured on</w:t>
      </w:r>
      <w:r w:rsidR="00DF40AF">
        <w:rPr>
          <w:rFonts w:ascii="Times New Roman" w:hAnsi="Times New Roman"/>
          <w:sz w:val="24"/>
        </w:rPr>
        <w:t xml:space="preserve">e hour after injection of ACTH. </w:t>
      </w:r>
      <w:r w:rsidR="00AE1CF2">
        <w:rPr>
          <w:rFonts w:ascii="Times New Roman" w:hAnsi="Times New Roman"/>
          <w:sz w:val="24"/>
        </w:rPr>
        <w:t xml:space="preserve"> </w:t>
      </w:r>
    </w:p>
    <w:p w:rsidR="00280D0E" w:rsidRPr="00596F48" w:rsidRDefault="00280D0E" w:rsidP="00596F48">
      <w:pPr>
        <w:numPr>
          <w:ilvl w:val="12"/>
          <w:numId w:val="0"/>
        </w:numPr>
        <w:jc w:val="both"/>
        <w:rPr>
          <w:rFonts w:ascii="Times New Roman" w:hAnsi="Times New Roman"/>
          <w:sz w:val="24"/>
        </w:rPr>
      </w:pPr>
    </w:p>
    <w:p w:rsidR="00CD4105" w:rsidRDefault="00CD4105">
      <w:pPr>
        <w:numPr>
          <w:ilvl w:val="12"/>
          <w:numId w:val="0"/>
        </w:numPr>
        <w:rPr>
          <w:rFonts w:ascii="Times New Roman" w:hAnsi="Times New Roman"/>
          <w:sz w:val="24"/>
        </w:rPr>
      </w:pPr>
      <w:r>
        <w:rPr>
          <w:rFonts w:ascii="Times New Roman" w:hAnsi="Times New Roman"/>
          <w:b/>
          <w:sz w:val="28"/>
        </w:rPr>
        <w:t xml:space="preserve">Material and methods </w:t>
      </w:r>
    </w:p>
    <w:p w:rsidR="00280D0E" w:rsidRDefault="00280D0E">
      <w:pPr>
        <w:numPr>
          <w:ilvl w:val="12"/>
          <w:numId w:val="0"/>
        </w:numPr>
        <w:rPr>
          <w:rFonts w:ascii="Times New Roman" w:hAnsi="Times New Roman"/>
          <w:color w:val="C0C0C0"/>
          <w:sz w:val="24"/>
        </w:rPr>
      </w:pPr>
    </w:p>
    <w:p w:rsidR="00C62C5C" w:rsidRDefault="00C62C5C" w:rsidP="00C62C5C">
      <w:pPr>
        <w:numPr>
          <w:ilvl w:val="12"/>
          <w:numId w:val="0"/>
        </w:numPr>
        <w:jc w:val="both"/>
        <w:rPr>
          <w:rFonts w:ascii="Times New Roman" w:hAnsi="Times New Roman"/>
          <w:sz w:val="24"/>
        </w:rPr>
      </w:pPr>
      <w:r w:rsidRPr="00280D0E">
        <w:rPr>
          <w:rFonts w:ascii="Times New Roman" w:hAnsi="Times New Roman"/>
          <w:sz w:val="24"/>
        </w:rPr>
        <w:t xml:space="preserve">The </w:t>
      </w:r>
      <w:r>
        <w:rPr>
          <w:rFonts w:ascii="Times New Roman" w:hAnsi="Times New Roman"/>
          <w:sz w:val="24"/>
        </w:rPr>
        <w:t>experiment was</w:t>
      </w:r>
      <w:r w:rsidRPr="00280D0E">
        <w:rPr>
          <w:rFonts w:ascii="Times New Roman" w:hAnsi="Times New Roman"/>
          <w:sz w:val="24"/>
        </w:rPr>
        <w:t xml:space="preserve"> </w:t>
      </w:r>
      <w:r>
        <w:rPr>
          <w:rFonts w:ascii="Times New Roman" w:hAnsi="Times New Roman"/>
          <w:sz w:val="24"/>
        </w:rPr>
        <w:t xml:space="preserve">carried out according to the French regulation; the </w:t>
      </w:r>
      <w:r w:rsidRPr="00280D0E">
        <w:rPr>
          <w:rFonts w:ascii="Times New Roman" w:hAnsi="Times New Roman"/>
          <w:sz w:val="24"/>
        </w:rPr>
        <w:t>protocol</w:t>
      </w:r>
      <w:r>
        <w:rPr>
          <w:rFonts w:ascii="Times New Roman" w:hAnsi="Times New Roman"/>
          <w:sz w:val="24"/>
        </w:rPr>
        <w:t>s</w:t>
      </w:r>
      <w:r w:rsidRPr="00280D0E">
        <w:rPr>
          <w:rFonts w:ascii="Times New Roman" w:hAnsi="Times New Roman"/>
          <w:sz w:val="24"/>
        </w:rPr>
        <w:t xml:space="preserve"> </w:t>
      </w:r>
      <w:r>
        <w:rPr>
          <w:rFonts w:ascii="Times New Roman" w:hAnsi="Times New Roman"/>
          <w:sz w:val="24"/>
        </w:rPr>
        <w:t xml:space="preserve">were evaluated and approved </w:t>
      </w:r>
      <w:r w:rsidRPr="00280D0E">
        <w:rPr>
          <w:rFonts w:ascii="Times New Roman" w:hAnsi="Times New Roman"/>
          <w:sz w:val="24"/>
        </w:rPr>
        <w:t xml:space="preserve">by </w:t>
      </w:r>
      <w:r>
        <w:rPr>
          <w:rFonts w:ascii="Times New Roman" w:hAnsi="Times New Roman"/>
          <w:sz w:val="24"/>
        </w:rPr>
        <w:t xml:space="preserve">an </w:t>
      </w:r>
      <w:r w:rsidRPr="00280D0E">
        <w:rPr>
          <w:rFonts w:ascii="Times New Roman" w:hAnsi="Times New Roman"/>
          <w:sz w:val="24"/>
        </w:rPr>
        <w:t>ethics committee (decision CE2013-1, 21012013).</w:t>
      </w:r>
    </w:p>
    <w:p w:rsidR="00DE7CC5" w:rsidRDefault="00DE7CC5" w:rsidP="00C62C5C">
      <w:pPr>
        <w:numPr>
          <w:ilvl w:val="12"/>
          <w:numId w:val="0"/>
        </w:numPr>
        <w:jc w:val="both"/>
        <w:rPr>
          <w:rFonts w:ascii="Times New Roman" w:hAnsi="Times New Roman"/>
          <w:sz w:val="24"/>
        </w:rPr>
      </w:pPr>
    </w:p>
    <w:p w:rsidR="00CD4105" w:rsidRDefault="00E06814">
      <w:pPr>
        <w:numPr>
          <w:ilvl w:val="12"/>
          <w:numId w:val="0"/>
        </w:numPr>
        <w:rPr>
          <w:rFonts w:ascii="Times New Roman" w:hAnsi="Times New Roman"/>
          <w:sz w:val="24"/>
        </w:rPr>
      </w:pPr>
      <w:r>
        <w:rPr>
          <w:rFonts w:ascii="Times New Roman" w:hAnsi="Times New Roman"/>
          <w:b/>
          <w:sz w:val="24"/>
        </w:rPr>
        <w:t xml:space="preserve">Animals and </w:t>
      </w:r>
      <w:r w:rsidR="00DB1D4D">
        <w:rPr>
          <w:rFonts w:ascii="Times New Roman" w:hAnsi="Times New Roman"/>
          <w:b/>
          <w:sz w:val="24"/>
        </w:rPr>
        <w:t>s</w:t>
      </w:r>
      <w:r w:rsidR="008F2712">
        <w:rPr>
          <w:rFonts w:ascii="Times New Roman" w:hAnsi="Times New Roman"/>
          <w:b/>
          <w:sz w:val="24"/>
        </w:rPr>
        <w:t>election experiment</w:t>
      </w:r>
    </w:p>
    <w:p w:rsidR="00AE1CF2" w:rsidRDefault="00AE1CF2" w:rsidP="0015491D">
      <w:pPr>
        <w:numPr>
          <w:ilvl w:val="12"/>
          <w:numId w:val="0"/>
        </w:numPr>
        <w:jc w:val="both"/>
        <w:rPr>
          <w:rFonts w:ascii="Times New Roman" w:hAnsi="Times New Roman"/>
          <w:sz w:val="24"/>
        </w:rPr>
      </w:pPr>
    </w:p>
    <w:p w:rsidR="00E06814" w:rsidRDefault="00C62C5C" w:rsidP="0015491D">
      <w:pPr>
        <w:numPr>
          <w:ilvl w:val="12"/>
          <w:numId w:val="0"/>
        </w:numPr>
        <w:jc w:val="both"/>
        <w:rPr>
          <w:rFonts w:ascii="Times New Roman" w:hAnsi="Times New Roman"/>
          <w:sz w:val="24"/>
        </w:rPr>
      </w:pPr>
      <w:r w:rsidRPr="00C62C5C">
        <w:rPr>
          <w:rFonts w:ascii="Times New Roman" w:hAnsi="Times New Roman"/>
          <w:sz w:val="24"/>
        </w:rPr>
        <w:t>The base population was constituted by the progeny of a foundation</w:t>
      </w:r>
      <w:r>
        <w:rPr>
          <w:rFonts w:ascii="Times New Roman" w:hAnsi="Times New Roman"/>
          <w:sz w:val="24"/>
        </w:rPr>
        <w:t xml:space="preserve"> </w:t>
      </w:r>
      <w:r w:rsidRPr="00C62C5C">
        <w:rPr>
          <w:rFonts w:ascii="Times New Roman" w:hAnsi="Times New Roman"/>
          <w:sz w:val="24"/>
        </w:rPr>
        <w:t xml:space="preserve">breeding stock </w:t>
      </w:r>
      <w:r>
        <w:rPr>
          <w:rFonts w:ascii="Times New Roman" w:hAnsi="Times New Roman"/>
          <w:sz w:val="24"/>
        </w:rPr>
        <w:t xml:space="preserve">of </w:t>
      </w:r>
      <w:r w:rsidRPr="00C62C5C">
        <w:rPr>
          <w:rFonts w:ascii="Times New Roman" w:hAnsi="Times New Roman"/>
          <w:sz w:val="24"/>
        </w:rPr>
        <w:t>purebred French Large White</w:t>
      </w:r>
      <w:r>
        <w:rPr>
          <w:rFonts w:ascii="Times New Roman" w:hAnsi="Times New Roman"/>
          <w:sz w:val="24"/>
        </w:rPr>
        <w:t xml:space="preserve"> </w:t>
      </w:r>
      <w:r w:rsidRPr="00C62C5C">
        <w:rPr>
          <w:rFonts w:ascii="Times New Roman" w:hAnsi="Times New Roman"/>
          <w:sz w:val="24"/>
        </w:rPr>
        <w:t xml:space="preserve">pigs consisting of </w:t>
      </w:r>
      <w:r>
        <w:rPr>
          <w:rFonts w:ascii="Times New Roman" w:hAnsi="Times New Roman"/>
          <w:sz w:val="24"/>
        </w:rPr>
        <w:t>30</w:t>
      </w:r>
      <w:r w:rsidRPr="00C62C5C">
        <w:rPr>
          <w:rFonts w:ascii="Times New Roman" w:hAnsi="Times New Roman"/>
          <w:sz w:val="24"/>
        </w:rPr>
        <w:t xml:space="preserve"> unrelated AI boars and </w:t>
      </w:r>
      <w:r>
        <w:rPr>
          <w:rFonts w:ascii="Times New Roman" w:hAnsi="Times New Roman"/>
          <w:sz w:val="24"/>
        </w:rPr>
        <w:t>30</w:t>
      </w:r>
      <w:r w:rsidRPr="00C62C5C">
        <w:rPr>
          <w:rFonts w:ascii="Times New Roman" w:hAnsi="Times New Roman"/>
          <w:sz w:val="24"/>
        </w:rPr>
        <w:t xml:space="preserve"> sows.</w:t>
      </w:r>
      <w:r>
        <w:rPr>
          <w:rFonts w:ascii="Times New Roman" w:hAnsi="Times New Roman"/>
          <w:sz w:val="24"/>
        </w:rPr>
        <w:t xml:space="preserve"> This base population </w:t>
      </w:r>
      <w:r w:rsidR="00DE7CC5">
        <w:rPr>
          <w:rFonts w:ascii="Times New Roman" w:hAnsi="Times New Roman"/>
          <w:sz w:val="24"/>
        </w:rPr>
        <w:t>(</w:t>
      </w:r>
      <w:r w:rsidR="00E06814">
        <w:rPr>
          <w:rFonts w:ascii="Times New Roman" w:hAnsi="Times New Roman"/>
          <w:sz w:val="24"/>
        </w:rPr>
        <w:t>F</w:t>
      </w:r>
      <w:r w:rsidR="00DE7CC5">
        <w:rPr>
          <w:rFonts w:ascii="Times New Roman" w:hAnsi="Times New Roman"/>
          <w:sz w:val="24"/>
        </w:rPr>
        <w:t xml:space="preserve">0) </w:t>
      </w:r>
      <w:r>
        <w:rPr>
          <w:rFonts w:ascii="Times New Roman" w:hAnsi="Times New Roman"/>
          <w:sz w:val="24"/>
        </w:rPr>
        <w:t xml:space="preserve">has been described by Larzul </w:t>
      </w:r>
      <w:r w:rsidRPr="002D470C">
        <w:rPr>
          <w:rFonts w:ascii="Times New Roman" w:hAnsi="Times New Roman"/>
          <w:i/>
          <w:sz w:val="24"/>
        </w:rPr>
        <w:t>et al.</w:t>
      </w:r>
      <w:r>
        <w:rPr>
          <w:rFonts w:ascii="Times New Roman" w:hAnsi="Times New Roman"/>
          <w:sz w:val="24"/>
        </w:rPr>
        <w:t xml:space="preserve"> (2015). </w:t>
      </w:r>
      <w:r w:rsidR="00DE7CC5">
        <w:rPr>
          <w:rFonts w:ascii="Times New Roman" w:hAnsi="Times New Roman"/>
          <w:sz w:val="24"/>
        </w:rPr>
        <w:t>T</w:t>
      </w:r>
      <w:r w:rsidR="00195A56">
        <w:rPr>
          <w:rFonts w:ascii="Times New Roman" w:hAnsi="Times New Roman"/>
          <w:sz w:val="24"/>
        </w:rPr>
        <w:t xml:space="preserve">wo divergent lines were selected on the </w:t>
      </w:r>
      <w:r w:rsidR="00DB1D4D">
        <w:rPr>
          <w:rFonts w:ascii="Times New Roman" w:hAnsi="Times New Roman"/>
          <w:sz w:val="24"/>
        </w:rPr>
        <w:t xml:space="preserve">plasma </w:t>
      </w:r>
      <w:r w:rsidR="00DE7CC5">
        <w:rPr>
          <w:rFonts w:ascii="Times New Roman" w:hAnsi="Times New Roman"/>
          <w:sz w:val="24"/>
        </w:rPr>
        <w:t>cortisol level after ACTH injection.</w:t>
      </w:r>
      <w:r w:rsidR="00195A56">
        <w:rPr>
          <w:rFonts w:ascii="Times New Roman" w:hAnsi="Times New Roman"/>
          <w:sz w:val="24"/>
        </w:rPr>
        <w:t xml:space="preserve"> </w:t>
      </w:r>
      <w:r w:rsidR="00DE7CC5">
        <w:rPr>
          <w:rFonts w:ascii="Times New Roman" w:hAnsi="Times New Roman"/>
          <w:sz w:val="24"/>
        </w:rPr>
        <w:t xml:space="preserve">From the base population, 14 males were selected, 7 with the highest cortisol values (H line) and 7 with the lowest cortisol values (L line). They were mated at random with 62 unselected Large White sows. On the following generations, 8 males and 40 females were selected on extreme cortisol values, within line (table 1). </w:t>
      </w:r>
    </w:p>
    <w:p w:rsidR="00DE7CC5" w:rsidRDefault="00DE7CC5" w:rsidP="00C62C5C">
      <w:pPr>
        <w:numPr>
          <w:ilvl w:val="12"/>
          <w:numId w:val="0"/>
        </w:numPr>
        <w:jc w:val="both"/>
        <w:rPr>
          <w:rFonts w:ascii="Times New Roman" w:hAnsi="Times New Roman"/>
          <w:sz w:val="24"/>
        </w:rPr>
      </w:pPr>
    </w:p>
    <w:p w:rsidR="00DE7CC5" w:rsidRDefault="00DE7CC5" w:rsidP="00C62C5C">
      <w:pPr>
        <w:numPr>
          <w:ilvl w:val="12"/>
          <w:numId w:val="0"/>
        </w:numPr>
        <w:jc w:val="both"/>
        <w:rPr>
          <w:rFonts w:ascii="Times New Roman" w:hAnsi="Times New Roman"/>
          <w:i/>
          <w:iCs/>
          <w:sz w:val="24"/>
        </w:rPr>
      </w:pPr>
      <w:r w:rsidRPr="00306E11">
        <w:rPr>
          <w:rFonts w:ascii="Times New Roman" w:hAnsi="Times New Roman"/>
          <w:bCs/>
          <w:i/>
          <w:iCs/>
          <w:sz w:val="24"/>
        </w:rPr>
        <w:t>Table 1.</w:t>
      </w:r>
      <w:r w:rsidRPr="00306E11">
        <w:rPr>
          <w:rFonts w:ascii="Times New Roman" w:hAnsi="Times New Roman"/>
          <w:i/>
          <w:iCs/>
          <w:sz w:val="24"/>
        </w:rPr>
        <w:t xml:space="preserve"> </w:t>
      </w:r>
      <w:r>
        <w:rPr>
          <w:rFonts w:ascii="Times New Roman" w:hAnsi="Times New Roman"/>
          <w:i/>
          <w:iCs/>
          <w:sz w:val="24"/>
        </w:rPr>
        <w:t>N</w:t>
      </w:r>
      <w:r w:rsidRPr="00DE7CC5">
        <w:rPr>
          <w:rFonts w:ascii="Times New Roman" w:hAnsi="Times New Roman"/>
          <w:i/>
          <w:iCs/>
          <w:sz w:val="24"/>
        </w:rPr>
        <w:t xml:space="preserve">umber of animals </w:t>
      </w:r>
      <w:r>
        <w:rPr>
          <w:rFonts w:ascii="Times New Roman" w:hAnsi="Times New Roman"/>
          <w:i/>
          <w:iCs/>
          <w:sz w:val="24"/>
        </w:rPr>
        <w:t xml:space="preserve">measured </w:t>
      </w:r>
      <w:r w:rsidR="00DB1D4D">
        <w:rPr>
          <w:rFonts w:ascii="Times New Roman" w:hAnsi="Times New Roman"/>
          <w:i/>
          <w:iCs/>
          <w:sz w:val="24"/>
        </w:rPr>
        <w:t xml:space="preserve">and mean plasma </w:t>
      </w:r>
      <w:r>
        <w:rPr>
          <w:rFonts w:ascii="Times New Roman" w:hAnsi="Times New Roman"/>
          <w:i/>
          <w:iCs/>
          <w:sz w:val="24"/>
        </w:rPr>
        <w:t>cortisol level after ACTH injection</w:t>
      </w:r>
      <w:r w:rsidRPr="00DE7CC5">
        <w:rPr>
          <w:rFonts w:ascii="Times New Roman" w:hAnsi="Times New Roman"/>
          <w:i/>
          <w:iCs/>
          <w:sz w:val="24"/>
        </w:rPr>
        <w:t xml:space="preserve"> per line and generation.</w:t>
      </w:r>
    </w:p>
    <w:p w:rsidR="00DB1D4D" w:rsidRDefault="00DB1D4D" w:rsidP="00C62C5C">
      <w:pPr>
        <w:numPr>
          <w:ilvl w:val="12"/>
          <w:numId w:val="0"/>
        </w:numPr>
        <w:jc w:val="both"/>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351"/>
        <w:gridCol w:w="1274"/>
        <w:gridCol w:w="1274"/>
        <w:gridCol w:w="1274"/>
      </w:tblGrid>
      <w:tr w:rsidR="00775159" w:rsidRPr="002E3EDC" w:rsidTr="00AE1CF2">
        <w:trPr>
          <w:jc w:val="center"/>
        </w:trPr>
        <w:tc>
          <w:tcPr>
            <w:tcW w:w="1283" w:type="dxa"/>
            <w:tcBorders>
              <w:top w:val="single" w:sz="4" w:space="0" w:color="auto"/>
              <w:left w:val="nil"/>
              <w:bottom w:val="single" w:sz="4" w:space="0" w:color="auto"/>
              <w:right w:val="nil"/>
            </w:tcBorders>
          </w:tcPr>
          <w:p w:rsidR="00775159" w:rsidRPr="002E3EDC" w:rsidRDefault="00775159" w:rsidP="00401B84">
            <w:pPr>
              <w:numPr>
                <w:ilvl w:val="12"/>
                <w:numId w:val="0"/>
              </w:numPr>
              <w:jc w:val="both"/>
              <w:rPr>
                <w:rFonts w:ascii="Times New Roman" w:hAnsi="Times New Roman"/>
                <w:sz w:val="24"/>
              </w:rPr>
            </w:pPr>
          </w:p>
        </w:tc>
        <w:tc>
          <w:tcPr>
            <w:tcW w:w="2625" w:type="dxa"/>
            <w:gridSpan w:val="2"/>
            <w:tcBorders>
              <w:top w:val="single" w:sz="4" w:space="0" w:color="auto"/>
              <w:left w:val="nil"/>
              <w:bottom w:val="single" w:sz="4" w:space="0" w:color="auto"/>
              <w:right w:val="nil"/>
            </w:tcBorders>
          </w:tcPr>
          <w:p w:rsidR="00775159" w:rsidRPr="002E3EDC" w:rsidRDefault="00775159" w:rsidP="00401B84">
            <w:pPr>
              <w:numPr>
                <w:ilvl w:val="12"/>
                <w:numId w:val="0"/>
              </w:numPr>
              <w:jc w:val="center"/>
              <w:rPr>
                <w:rFonts w:ascii="Times New Roman" w:hAnsi="Times New Roman"/>
                <w:sz w:val="24"/>
              </w:rPr>
            </w:pPr>
            <w:r>
              <w:rPr>
                <w:rFonts w:ascii="Times New Roman" w:hAnsi="Times New Roman"/>
                <w:sz w:val="24"/>
              </w:rPr>
              <w:t>N</w:t>
            </w:r>
          </w:p>
        </w:tc>
        <w:tc>
          <w:tcPr>
            <w:tcW w:w="2548" w:type="dxa"/>
            <w:gridSpan w:val="2"/>
            <w:tcBorders>
              <w:top w:val="single" w:sz="4" w:space="0" w:color="auto"/>
              <w:left w:val="nil"/>
              <w:bottom w:val="single" w:sz="4" w:space="0" w:color="auto"/>
              <w:right w:val="nil"/>
            </w:tcBorders>
          </w:tcPr>
          <w:p w:rsidR="00775159" w:rsidRPr="002E3EDC" w:rsidRDefault="00775159" w:rsidP="00401B84">
            <w:pPr>
              <w:numPr>
                <w:ilvl w:val="12"/>
                <w:numId w:val="0"/>
              </w:numPr>
              <w:jc w:val="center"/>
              <w:rPr>
                <w:rFonts w:ascii="Times New Roman" w:hAnsi="Times New Roman"/>
                <w:sz w:val="24"/>
              </w:rPr>
            </w:pPr>
            <w:r>
              <w:rPr>
                <w:rFonts w:ascii="Times New Roman" w:hAnsi="Times New Roman"/>
                <w:sz w:val="24"/>
              </w:rPr>
              <w:t>Mean (ng/ml)</w:t>
            </w:r>
          </w:p>
        </w:tc>
      </w:tr>
      <w:tr w:rsidR="00775159" w:rsidRPr="002E3EDC" w:rsidTr="00AE1CF2">
        <w:trPr>
          <w:jc w:val="center"/>
        </w:trPr>
        <w:tc>
          <w:tcPr>
            <w:tcW w:w="1283" w:type="dxa"/>
            <w:tcBorders>
              <w:top w:val="single" w:sz="4" w:space="0" w:color="auto"/>
              <w:left w:val="nil"/>
              <w:bottom w:val="single" w:sz="4" w:space="0" w:color="auto"/>
              <w:right w:val="nil"/>
            </w:tcBorders>
          </w:tcPr>
          <w:p w:rsidR="00775159" w:rsidRDefault="00775159" w:rsidP="00C956F0">
            <w:pPr>
              <w:numPr>
                <w:ilvl w:val="12"/>
                <w:numId w:val="0"/>
              </w:numPr>
              <w:jc w:val="both"/>
              <w:rPr>
                <w:rFonts w:ascii="Times New Roman" w:hAnsi="Times New Roman"/>
                <w:sz w:val="24"/>
              </w:rPr>
            </w:pPr>
            <w:r>
              <w:rPr>
                <w:rFonts w:ascii="Times New Roman" w:hAnsi="Times New Roman"/>
                <w:sz w:val="24"/>
              </w:rPr>
              <w:t>Generation</w:t>
            </w:r>
          </w:p>
        </w:tc>
        <w:tc>
          <w:tcPr>
            <w:tcW w:w="1351" w:type="dxa"/>
            <w:tcBorders>
              <w:top w:val="single" w:sz="4" w:space="0" w:color="auto"/>
              <w:left w:val="nil"/>
              <w:bottom w:val="single" w:sz="4" w:space="0" w:color="auto"/>
              <w:right w:val="nil"/>
            </w:tcBorders>
          </w:tcPr>
          <w:p w:rsidR="00775159" w:rsidRDefault="00775159" w:rsidP="00DE7CC5">
            <w:pPr>
              <w:numPr>
                <w:ilvl w:val="12"/>
                <w:numId w:val="0"/>
              </w:numPr>
              <w:jc w:val="center"/>
              <w:rPr>
                <w:rFonts w:ascii="Times New Roman" w:hAnsi="Times New Roman"/>
                <w:sz w:val="24"/>
              </w:rPr>
            </w:pPr>
            <w:r>
              <w:rPr>
                <w:rFonts w:ascii="Times New Roman" w:hAnsi="Times New Roman"/>
                <w:sz w:val="24"/>
              </w:rPr>
              <w:t>Low line</w:t>
            </w:r>
          </w:p>
        </w:tc>
        <w:tc>
          <w:tcPr>
            <w:tcW w:w="1274" w:type="dxa"/>
            <w:tcBorders>
              <w:top w:val="single" w:sz="4" w:space="0" w:color="auto"/>
              <w:left w:val="nil"/>
              <w:bottom w:val="single" w:sz="4" w:space="0" w:color="auto"/>
              <w:right w:val="nil"/>
            </w:tcBorders>
          </w:tcPr>
          <w:p w:rsidR="00775159" w:rsidRDefault="00775159" w:rsidP="00DE7CC5">
            <w:pPr>
              <w:numPr>
                <w:ilvl w:val="12"/>
                <w:numId w:val="0"/>
              </w:numPr>
              <w:jc w:val="center"/>
              <w:rPr>
                <w:rFonts w:ascii="Times New Roman" w:hAnsi="Times New Roman"/>
                <w:sz w:val="24"/>
              </w:rPr>
            </w:pPr>
            <w:r>
              <w:rPr>
                <w:rFonts w:ascii="Times New Roman" w:hAnsi="Times New Roman"/>
                <w:sz w:val="24"/>
              </w:rPr>
              <w:t>High line</w:t>
            </w:r>
          </w:p>
        </w:tc>
        <w:tc>
          <w:tcPr>
            <w:tcW w:w="1274" w:type="dxa"/>
            <w:tcBorders>
              <w:top w:val="single" w:sz="4" w:space="0" w:color="auto"/>
              <w:left w:val="nil"/>
              <w:bottom w:val="single" w:sz="4" w:space="0" w:color="auto"/>
              <w:right w:val="nil"/>
            </w:tcBorders>
          </w:tcPr>
          <w:p w:rsidR="00775159" w:rsidRDefault="00775159" w:rsidP="00401B84">
            <w:pPr>
              <w:numPr>
                <w:ilvl w:val="12"/>
                <w:numId w:val="0"/>
              </w:numPr>
              <w:jc w:val="center"/>
              <w:rPr>
                <w:rFonts w:ascii="Times New Roman" w:hAnsi="Times New Roman"/>
                <w:sz w:val="24"/>
              </w:rPr>
            </w:pPr>
            <w:r>
              <w:rPr>
                <w:rFonts w:ascii="Times New Roman" w:hAnsi="Times New Roman"/>
                <w:sz w:val="24"/>
              </w:rPr>
              <w:t>Low line</w:t>
            </w:r>
          </w:p>
        </w:tc>
        <w:tc>
          <w:tcPr>
            <w:tcW w:w="1274" w:type="dxa"/>
            <w:tcBorders>
              <w:top w:val="single" w:sz="4" w:space="0" w:color="auto"/>
              <w:left w:val="nil"/>
              <w:bottom w:val="single" w:sz="4" w:space="0" w:color="auto"/>
              <w:right w:val="nil"/>
            </w:tcBorders>
          </w:tcPr>
          <w:p w:rsidR="00775159" w:rsidRDefault="00775159" w:rsidP="00401B84">
            <w:pPr>
              <w:numPr>
                <w:ilvl w:val="12"/>
                <w:numId w:val="0"/>
              </w:numPr>
              <w:jc w:val="center"/>
              <w:rPr>
                <w:rFonts w:ascii="Times New Roman" w:hAnsi="Times New Roman"/>
                <w:sz w:val="24"/>
              </w:rPr>
            </w:pPr>
            <w:r>
              <w:rPr>
                <w:rFonts w:ascii="Times New Roman" w:hAnsi="Times New Roman"/>
                <w:sz w:val="24"/>
              </w:rPr>
              <w:t>High line</w:t>
            </w:r>
          </w:p>
        </w:tc>
      </w:tr>
      <w:tr w:rsidR="00775159" w:rsidRPr="002E3EDC" w:rsidTr="00AE1CF2">
        <w:trPr>
          <w:jc w:val="center"/>
        </w:trPr>
        <w:tc>
          <w:tcPr>
            <w:tcW w:w="1283" w:type="dxa"/>
            <w:tcBorders>
              <w:top w:val="nil"/>
              <w:left w:val="nil"/>
              <w:bottom w:val="nil"/>
              <w:right w:val="nil"/>
            </w:tcBorders>
          </w:tcPr>
          <w:p w:rsidR="00775159" w:rsidRPr="002E3EDC" w:rsidRDefault="00775159" w:rsidP="00C956F0">
            <w:pPr>
              <w:numPr>
                <w:ilvl w:val="12"/>
                <w:numId w:val="0"/>
              </w:numPr>
              <w:jc w:val="both"/>
              <w:rPr>
                <w:rFonts w:ascii="Times New Roman" w:hAnsi="Times New Roman"/>
                <w:sz w:val="24"/>
              </w:rPr>
            </w:pPr>
            <w:r>
              <w:rPr>
                <w:rFonts w:ascii="Times New Roman" w:hAnsi="Times New Roman"/>
                <w:sz w:val="24"/>
              </w:rPr>
              <w:t>F0</w:t>
            </w:r>
          </w:p>
        </w:tc>
        <w:tc>
          <w:tcPr>
            <w:tcW w:w="2625" w:type="dxa"/>
            <w:gridSpan w:val="2"/>
            <w:tcBorders>
              <w:top w:val="nil"/>
              <w:left w:val="nil"/>
              <w:bottom w:val="nil"/>
              <w:right w:val="nil"/>
            </w:tcBorders>
          </w:tcPr>
          <w:p w:rsidR="00775159" w:rsidRPr="002E3EDC" w:rsidRDefault="00775159" w:rsidP="00DE7CC5">
            <w:pPr>
              <w:numPr>
                <w:ilvl w:val="12"/>
                <w:numId w:val="0"/>
              </w:numPr>
              <w:ind w:right="287"/>
              <w:jc w:val="center"/>
              <w:rPr>
                <w:rFonts w:ascii="Times New Roman" w:hAnsi="Times New Roman"/>
                <w:sz w:val="24"/>
              </w:rPr>
            </w:pPr>
            <w:r>
              <w:rPr>
                <w:rFonts w:ascii="Times New Roman" w:hAnsi="Times New Roman"/>
                <w:sz w:val="24"/>
              </w:rPr>
              <w:t>298</w:t>
            </w:r>
          </w:p>
        </w:tc>
        <w:tc>
          <w:tcPr>
            <w:tcW w:w="2548" w:type="dxa"/>
            <w:gridSpan w:val="2"/>
            <w:tcBorders>
              <w:top w:val="nil"/>
              <w:left w:val="nil"/>
              <w:bottom w:val="nil"/>
              <w:right w:val="nil"/>
            </w:tcBorders>
          </w:tcPr>
          <w:p w:rsidR="00775159" w:rsidRDefault="00775159" w:rsidP="00775159">
            <w:pPr>
              <w:numPr>
                <w:ilvl w:val="12"/>
                <w:numId w:val="0"/>
              </w:numPr>
              <w:ind w:right="287"/>
              <w:jc w:val="center"/>
              <w:rPr>
                <w:rFonts w:ascii="Times New Roman" w:hAnsi="Times New Roman"/>
                <w:sz w:val="24"/>
              </w:rPr>
            </w:pPr>
            <w:r>
              <w:rPr>
                <w:rFonts w:ascii="Times New Roman" w:hAnsi="Times New Roman"/>
                <w:sz w:val="24"/>
              </w:rPr>
              <w:t>99</w:t>
            </w:r>
          </w:p>
        </w:tc>
      </w:tr>
      <w:tr w:rsidR="00775159" w:rsidRPr="002E3EDC" w:rsidTr="00AE1CF2">
        <w:trPr>
          <w:jc w:val="center"/>
        </w:trPr>
        <w:tc>
          <w:tcPr>
            <w:tcW w:w="1283" w:type="dxa"/>
            <w:tcBorders>
              <w:top w:val="nil"/>
              <w:left w:val="nil"/>
              <w:bottom w:val="nil"/>
              <w:right w:val="nil"/>
            </w:tcBorders>
          </w:tcPr>
          <w:p w:rsidR="00775159" w:rsidRPr="002E3EDC" w:rsidRDefault="00775159" w:rsidP="00C956F0">
            <w:pPr>
              <w:numPr>
                <w:ilvl w:val="12"/>
                <w:numId w:val="0"/>
              </w:numPr>
              <w:jc w:val="both"/>
              <w:rPr>
                <w:rFonts w:ascii="Times New Roman" w:hAnsi="Times New Roman"/>
                <w:sz w:val="24"/>
              </w:rPr>
            </w:pPr>
            <w:r>
              <w:rPr>
                <w:rFonts w:ascii="Times New Roman" w:hAnsi="Times New Roman"/>
                <w:sz w:val="24"/>
              </w:rPr>
              <w:t>G1</w:t>
            </w:r>
          </w:p>
        </w:tc>
        <w:tc>
          <w:tcPr>
            <w:tcW w:w="1351" w:type="dxa"/>
            <w:tcBorders>
              <w:top w:val="nil"/>
              <w:left w:val="nil"/>
              <w:bottom w:val="nil"/>
              <w:right w:val="nil"/>
            </w:tcBorders>
          </w:tcPr>
          <w:p w:rsidR="00775159" w:rsidRPr="002E3EDC" w:rsidRDefault="00775159" w:rsidP="00DE7CC5">
            <w:pPr>
              <w:numPr>
                <w:ilvl w:val="12"/>
                <w:numId w:val="0"/>
              </w:numPr>
              <w:ind w:right="287"/>
              <w:jc w:val="center"/>
              <w:rPr>
                <w:rFonts w:ascii="Times New Roman" w:hAnsi="Times New Roman"/>
                <w:sz w:val="24"/>
              </w:rPr>
            </w:pPr>
            <w:r>
              <w:rPr>
                <w:rFonts w:ascii="Times New Roman" w:hAnsi="Times New Roman"/>
                <w:sz w:val="24"/>
              </w:rPr>
              <w:t>201</w:t>
            </w:r>
          </w:p>
        </w:tc>
        <w:tc>
          <w:tcPr>
            <w:tcW w:w="1274" w:type="dxa"/>
            <w:tcBorders>
              <w:top w:val="nil"/>
              <w:left w:val="nil"/>
              <w:bottom w:val="nil"/>
              <w:right w:val="nil"/>
            </w:tcBorders>
          </w:tcPr>
          <w:p w:rsidR="00775159" w:rsidRPr="002E3EDC" w:rsidRDefault="00775159" w:rsidP="00DE7CC5">
            <w:pPr>
              <w:numPr>
                <w:ilvl w:val="12"/>
                <w:numId w:val="0"/>
              </w:numPr>
              <w:ind w:right="287"/>
              <w:jc w:val="center"/>
              <w:rPr>
                <w:rFonts w:ascii="Times New Roman" w:hAnsi="Times New Roman"/>
                <w:sz w:val="24"/>
              </w:rPr>
            </w:pPr>
            <w:r>
              <w:rPr>
                <w:rFonts w:ascii="Times New Roman" w:hAnsi="Times New Roman"/>
                <w:sz w:val="24"/>
              </w:rPr>
              <w:t>152</w:t>
            </w:r>
          </w:p>
        </w:tc>
        <w:tc>
          <w:tcPr>
            <w:tcW w:w="1274" w:type="dxa"/>
            <w:tcBorders>
              <w:top w:val="nil"/>
              <w:left w:val="nil"/>
              <w:bottom w:val="nil"/>
              <w:right w:val="nil"/>
            </w:tcBorders>
          </w:tcPr>
          <w:p w:rsidR="00775159" w:rsidRDefault="00775159" w:rsidP="00DE7CC5">
            <w:pPr>
              <w:numPr>
                <w:ilvl w:val="12"/>
                <w:numId w:val="0"/>
              </w:numPr>
              <w:ind w:right="287"/>
              <w:jc w:val="center"/>
              <w:rPr>
                <w:rFonts w:ascii="Times New Roman" w:hAnsi="Times New Roman"/>
                <w:sz w:val="24"/>
              </w:rPr>
            </w:pPr>
            <w:r>
              <w:rPr>
                <w:rFonts w:ascii="Times New Roman" w:hAnsi="Times New Roman"/>
                <w:sz w:val="24"/>
              </w:rPr>
              <w:t>105</w:t>
            </w:r>
          </w:p>
        </w:tc>
        <w:tc>
          <w:tcPr>
            <w:tcW w:w="1274" w:type="dxa"/>
            <w:tcBorders>
              <w:top w:val="nil"/>
              <w:left w:val="nil"/>
              <w:bottom w:val="nil"/>
              <w:right w:val="nil"/>
            </w:tcBorders>
          </w:tcPr>
          <w:p w:rsidR="00775159" w:rsidRDefault="00775159" w:rsidP="00DE7CC5">
            <w:pPr>
              <w:numPr>
                <w:ilvl w:val="12"/>
                <w:numId w:val="0"/>
              </w:numPr>
              <w:ind w:right="287"/>
              <w:jc w:val="center"/>
              <w:rPr>
                <w:rFonts w:ascii="Times New Roman" w:hAnsi="Times New Roman"/>
                <w:sz w:val="24"/>
              </w:rPr>
            </w:pPr>
            <w:r>
              <w:rPr>
                <w:rFonts w:ascii="Times New Roman" w:hAnsi="Times New Roman"/>
                <w:sz w:val="24"/>
              </w:rPr>
              <w:t>121</w:t>
            </w:r>
          </w:p>
        </w:tc>
      </w:tr>
      <w:tr w:rsidR="00775159" w:rsidRPr="002E3EDC" w:rsidTr="00AE1CF2">
        <w:trPr>
          <w:jc w:val="center"/>
        </w:trPr>
        <w:tc>
          <w:tcPr>
            <w:tcW w:w="1283" w:type="dxa"/>
            <w:tcBorders>
              <w:top w:val="nil"/>
              <w:left w:val="nil"/>
              <w:bottom w:val="nil"/>
              <w:right w:val="nil"/>
            </w:tcBorders>
          </w:tcPr>
          <w:p w:rsidR="00775159" w:rsidRDefault="00775159" w:rsidP="00C956F0">
            <w:pPr>
              <w:numPr>
                <w:ilvl w:val="12"/>
                <w:numId w:val="0"/>
              </w:numPr>
              <w:jc w:val="both"/>
              <w:rPr>
                <w:rFonts w:ascii="Times New Roman" w:hAnsi="Times New Roman"/>
                <w:sz w:val="24"/>
              </w:rPr>
            </w:pPr>
            <w:r>
              <w:rPr>
                <w:rFonts w:ascii="Times New Roman" w:hAnsi="Times New Roman"/>
                <w:sz w:val="24"/>
              </w:rPr>
              <w:t>G2</w:t>
            </w:r>
          </w:p>
        </w:tc>
        <w:tc>
          <w:tcPr>
            <w:tcW w:w="1351" w:type="dxa"/>
            <w:tcBorders>
              <w:top w:val="nil"/>
              <w:left w:val="nil"/>
              <w:bottom w:val="nil"/>
              <w:right w:val="nil"/>
            </w:tcBorders>
          </w:tcPr>
          <w:p w:rsidR="00775159" w:rsidRPr="002E3EDC" w:rsidRDefault="00775159" w:rsidP="00DE7CC5">
            <w:pPr>
              <w:numPr>
                <w:ilvl w:val="12"/>
                <w:numId w:val="0"/>
              </w:numPr>
              <w:ind w:right="287"/>
              <w:jc w:val="center"/>
              <w:rPr>
                <w:rFonts w:ascii="Times New Roman" w:hAnsi="Times New Roman"/>
                <w:sz w:val="24"/>
              </w:rPr>
            </w:pPr>
            <w:r>
              <w:rPr>
                <w:rFonts w:ascii="Times New Roman" w:hAnsi="Times New Roman"/>
                <w:sz w:val="24"/>
              </w:rPr>
              <w:t>403</w:t>
            </w:r>
          </w:p>
        </w:tc>
        <w:tc>
          <w:tcPr>
            <w:tcW w:w="1274" w:type="dxa"/>
            <w:tcBorders>
              <w:top w:val="nil"/>
              <w:left w:val="nil"/>
              <w:bottom w:val="nil"/>
              <w:right w:val="nil"/>
            </w:tcBorders>
          </w:tcPr>
          <w:p w:rsidR="00775159" w:rsidRPr="002E3EDC" w:rsidRDefault="00775159" w:rsidP="00DE7CC5">
            <w:pPr>
              <w:numPr>
                <w:ilvl w:val="12"/>
                <w:numId w:val="0"/>
              </w:numPr>
              <w:ind w:right="287"/>
              <w:jc w:val="center"/>
              <w:rPr>
                <w:rFonts w:ascii="Times New Roman" w:hAnsi="Times New Roman"/>
                <w:sz w:val="24"/>
              </w:rPr>
            </w:pPr>
            <w:r>
              <w:rPr>
                <w:rFonts w:ascii="Times New Roman" w:hAnsi="Times New Roman"/>
                <w:sz w:val="24"/>
              </w:rPr>
              <w:t>357</w:t>
            </w:r>
          </w:p>
        </w:tc>
        <w:tc>
          <w:tcPr>
            <w:tcW w:w="1274" w:type="dxa"/>
            <w:tcBorders>
              <w:top w:val="nil"/>
              <w:left w:val="nil"/>
              <w:bottom w:val="nil"/>
              <w:right w:val="nil"/>
            </w:tcBorders>
          </w:tcPr>
          <w:p w:rsidR="00775159" w:rsidRDefault="00775159" w:rsidP="00DE7CC5">
            <w:pPr>
              <w:numPr>
                <w:ilvl w:val="12"/>
                <w:numId w:val="0"/>
              </w:numPr>
              <w:ind w:right="287"/>
              <w:jc w:val="center"/>
              <w:rPr>
                <w:rFonts w:ascii="Times New Roman" w:hAnsi="Times New Roman"/>
                <w:sz w:val="24"/>
              </w:rPr>
            </w:pPr>
            <w:r>
              <w:rPr>
                <w:rFonts w:ascii="Times New Roman" w:hAnsi="Times New Roman"/>
                <w:sz w:val="24"/>
              </w:rPr>
              <w:t>87</w:t>
            </w:r>
          </w:p>
        </w:tc>
        <w:tc>
          <w:tcPr>
            <w:tcW w:w="1274" w:type="dxa"/>
            <w:tcBorders>
              <w:top w:val="nil"/>
              <w:left w:val="nil"/>
              <w:bottom w:val="nil"/>
              <w:right w:val="nil"/>
            </w:tcBorders>
          </w:tcPr>
          <w:p w:rsidR="00775159" w:rsidRDefault="00775159" w:rsidP="00DE7CC5">
            <w:pPr>
              <w:numPr>
                <w:ilvl w:val="12"/>
                <w:numId w:val="0"/>
              </w:numPr>
              <w:ind w:right="287"/>
              <w:jc w:val="center"/>
              <w:rPr>
                <w:rFonts w:ascii="Times New Roman" w:hAnsi="Times New Roman"/>
                <w:sz w:val="24"/>
              </w:rPr>
            </w:pPr>
            <w:r>
              <w:rPr>
                <w:rFonts w:ascii="Times New Roman" w:hAnsi="Times New Roman"/>
                <w:sz w:val="24"/>
              </w:rPr>
              <w:t>129</w:t>
            </w:r>
          </w:p>
        </w:tc>
      </w:tr>
      <w:tr w:rsidR="00775159" w:rsidRPr="002E3EDC" w:rsidTr="00AE1CF2">
        <w:trPr>
          <w:jc w:val="center"/>
        </w:trPr>
        <w:tc>
          <w:tcPr>
            <w:tcW w:w="1283" w:type="dxa"/>
            <w:tcBorders>
              <w:top w:val="nil"/>
              <w:left w:val="nil"/>
              <w:bottom w:val="single" w:sz="4" w:space="0" w:color="auto"/>
              <w:right w:val="nil"/>
            </w:tcBorders>
          </w:tcPr>
          <w:p w:rsidR="00775159" w:rsidRPr="002E3EDC" w:rsidRDefault="00775159" w:rsidP="00DE7CC5">
            <w:pPr>
              <w:numPr>
                <w:ilvl w:val="12"/>
                <w:numId w:val="0"/>
              </w:numPr>
              <w:rPr>
                <w:rFonts w:ascii="Times New Roman" w:hAnsi="Times New Roman"/>
                <w:sz w:val="24"/>
              </w:rPr>
            </w:pPr>
            <w:r>
              <w:rPr>
                <w:rFonts w:ascii="Times New Roman" w:hAnsi="Times New Roman"/>
                <w:sz w:val="24"/>
              </w:rPr>
              <w:t>G3</w:t>
            </w:r>
          </w:p>
        </w:tc>
        <w:tc>
          <w:tcPr>
            <w:tcW w:w="1351" w:type="dxa"/>
            <w:tcBorders>
              <w:top w:val="nil"/>
              <w:left w:val="nil"/>
              <w:bottom w:val="single" w:sz="4" w:space="0" w:color="auto"/>
              <w:right w:val="nil"/>
            </w:tcBorders>
          </w:tcPr>
          <w:p w:rsidR="00775159" w:rsidRPr="002E3EDC" w:rsidRDefault="00775159" w:rsidP="00DE7CC5">
            <w:pPr>
              <w:numPr>
                <w:ilvl w:val="12"/>
                <w:numId w:val="0"/>
              </w:numPr>
              <w:ind w:right="287"/>
              <w:jc w:val="center"/>
              <w:rPr>
                <w:rFonts w:ascii="Times New Roman" w:hAnsi="Times New Roman"/>
                <w:sz w:val="24"/>
              </w:rPr>
            </w:pPr>
            <w:r>
              <w:rPr>
                <w:rFonts w:ascii="Times New Roman" w:hAnsi="Times New Roman"/>
                <w:sz w:val="24"/>
              </w:rPr>
              <w:t>330</w:t>
            </w:r>
          </w:p>
        </w:tc>
        <w:tc>
          <w:tcPr>
            <w:tcW w:w="1274" w:type="dxa"/>
            <w:tcBorders>
              <w:top w:val="nil"/>
              <w:left w:val="nil"/>
              <w:bottom w:val="single" w:sz="4" w:space="0" w:color="auto"/>
              <w:right w:val="nil"/>
            </w:tcBorders>
          </w:tcPr>
          <w:p w:rsidR="00775159" w:rsidRPr="002E3EDC" w:rsidRDefault="00775159" w:rsidP="00DE7CC5">
            <w:pPr>
              <w:numPr>
                <w:ilvl w:val="12"/>
                <w:numId w:val="0"/>
              </w:numPr>
              <w:ind w:right="287"/>
              <w:jc w:val="center"/>
              <w:rPr>
                <w:rFonts w:ascii="Times New Roman" w:hAnsi="Times New Roman"/>
                <w:sz w:val="24"/>
              </w:rPr>
            </w:pPr>
            <w:r>
              <w:rPr>
                <w:rFonts w:ascii="Times New Roman" w:hAnsi="Times New Roman"/>
                <w:sz w:val="24"/>
              </w:rPr>
              <w:t>313</w:t>
            </w:r>
          </w:p>
        </w:tc>
        <w:tc>
          <w:tcPr>
            <w:tcW w:w="1274" w:type="dxa"/>
            <w:tcBorders>
              <w:top w:val="nil"/>
              <w:left w:val="nil"/>
              <w:bottom w:val="single" w:sz="4" w:space="0" w:color="auto"/>
              <w:right w:val="nil"/>
            </w:tcBorders>
          </w:tcPr>
          <w:p w:rsidR="00775159" w:rsidRDefault="00775159" w:rsidP="00DE7CC5">
            <w:pPr>
              <w:numPr>
                <w:ilvl w:val="12"/>
                <w:numId w:val="0"/>
              </w:numPr>
              <w:ind w:right="287"/>
              <w:jc w:val="center"/>
              <w:rPr>
                <w:rFonts w:ascii="Times New Roman" w:hAnsi="Times New Roman"/>
                <w:sz w:val="24"/>
              </w:rPr>
            </w:pPr>
            <w:r>
              <w:rPr>
                <w:rFonts w:ascii="Times New Roman" w:hAnsi="Times New Roman"/>
                <w:sz w:val="24"/>
              </w:rPr>
              <w:t>73</w:t>
            </w:r>
          </w:p>
        </w:tc>
        <w:tc>
          <w:tcPr>
            <w:tcW w:w="1274" w:type="dxa"/>
            <w:tcBorders>
              <w:top w:val="nil"/>
              <w:left w:val="nil"/>
              <w:bottom w:val="single" w:sz="4" w:space="0" w:color="auto"/>
              <w:right w:val="nil"/>
            </w:tcBorders>
          </w:tcPr>
          <w:p w:rsidR="00775159" w:rsidRDefault="00775159" w:rsidP="00DE7CC5">
            <w:pPr>
              <w:numPr>
                <w:ilvl w:val="12"/>
                <w:numId w:val="0"/>
              </w:numPr>
              <w:ind w:right="287"/>
              <w:jc w:val="center"/>
              <w:rPr>
                <w:rFonts w:ascii="Times New Roman" w:hAnsi="Times New Roman"/>
                <w:sz w:val="24"/>
              </w:rPr>
            </w:pPr>
            <w:r>
              <w:rPr>
                <w:rFonts w:ascii="Times New Roman" w:hAnsi="Times New Roman"/>
                <w:sz w:val="24"/>
              </w:rPr>
              <w:t>158</w:t>
            </w:r>
          </w:p>
        </w:tc>
      </w:tr>
    </w:tbl>
    <w:p w:rsidR="00CD124A" w:rsidRDefault="00CD124A" w:rsidP="00C62C5C">
      <w:pPr>
        <w:numPr>
          <w:ilvl w:val="12"/>
          <w:numId w:val="0"/>
        </w:numPr>
        <w:jc w:val="both"/>
        <w:rPr>
          <w:rFonts w:ascii="Times New Roman" w:hAnsi="Times New Roman"/>
          <w:sz w:val="24"/>
        </w:rPr>
      </w:pPr>
    </w:p>
    <w:p w:rsidR="00DE7CC5" w:rsidRDefault="00CD124A" w:rsidP="00C62C5C">
      <w:pPr>
        <w:numPr>
          <w:ilvl w:val="12"/>
          <w:numId w:val="0"/>
        </w:numPr>
        <w:jc w:val="both"/>
        <w:rPr>
          <w:rFonts w:ascii="Times New Roman" w:hAnsi="Times New Roman"/>
          <w:sz w:val="24"/>
        </w:rPr>
      </w:pPr>
      <w:r w:rsidRPr="0015491D">
        <w:rPr>
          <w:rFonts w:ascii="Times New Roman" w:hAnsi="Times New Roman"/>
          <w:sz w:val="24"/>
        </w:rPr>
        <w:t>Replacement boars and gilts were chosen among first-parity litter progeny.</w:t>
      </w:r>
      <w:r>
        <w:rPr>
          <w:rFonts w:ascii="Times New Roman" w:hAnsi="Times New Roman"/>
          <w:sz w:val="24"/>
        </w:rPr>
        <w:t xml:space="preserve"> From the unselected 62 Large White sows, 30 were inseminated a second time with 30 AI Large White boars. A total of 120 animals G0 were phenotyped as representative of the base population for the selection experiment.</w:t>
      </w:r>
    </w:p>
    <w:p w:rsidR="00CD124A" w:rsidRDefault="00CD124A" w:rsidP="00C62C5C">
      <w:pPr>
        <w:numPr>
          <w:ilvl w:val="12"/>
          <w:numId w:val="0"/>
        </w:numPr>
        <w:jc w:val="both"/>
        <w:rPr>
          <w:rFonts w:ascii="Times New Roman" w:hAnsi="Times New Roman"/>
          <w:sz w:val="24"/>
        </w:rPr>
      </w:pPr>
    </w:p>
    <w:p w:rsidR="008F2712" w:rsidRPr="00C62C5C" w:rsidRDefault="008F2712" w:rsidP="008F2712">
      <w:pPr>
        <w:numPr>
          <w:ilvl w:val="12"/>
          <w:numId w:val="0"/>
        </w:numPr>
        <w:rPr>
          <w:rFonts w:ascii="Times New Roman" w:hAnsi="Times New Roman"/>
          <w:b/>
          <w:sz w:val="24"/>
        </w:rPr>
      </w:pPr>
      <w:r>
        <w:rPr>
          <w:rFonts w:ascii="Times New Roman" w:hAnsi="Times New Roman"/>
          <w:b/>
          <w:sz w:val="24"/>
        </w:rPr>
        <w:t>Measurements</w:t>
      </w:r>
    </w:p>
    <w:p w:rsidR="0015491D" w:rsidRDefault="0015491D" w:rsidP="004A24C0">
      <w:pPr>
        <w:numPr>
          <w:ilvl w:val="12"/>
          <w:numId w:val="0"/>
        </w:numPr>
        <w:jc w:val="both"/>
        <w:rPr>
          <w:rFonts w:ascii="Times New Roman" w:hAnsi="Times New Roman"/>
          <w:i/>
          <w:sz w:val="24"/>
        </w:rPr>
      </w:pPr>
    </w:p>
    <w:p w:rsidR="004A24C0" w:rsidRDefault="004A24C0" w:rsidP="004A24C0">
      <w:pPr>
        <w:numPr>
          <w:ilvl w:val="12"/>
          <w:numId w:val="0"/>
        </w:numPr>
        <w:jc w:val="both"/>
        <w:rPr>
          <w:rFonts w:ascii="Times New Roman" w:hAnsi="Times New Roman"/>
          <w:i/>
          <w:sz w:val="24"/>
        </w:rPr>
      </w:pPr>
      <w:r>
        <w:rPr>
          <w:rFonts w:ascii="Times New Roman" w:hAnsi="Times New Roman"/>
          <w:i/>
          <w:sz w:val="24"/>
        </w:rPr>
        <w:t>Selection criterion</w:t>
      </w:r>
    </w:p>
    <w:p w:rsidR="0015491D" w:rsidRDefault="0015491D" w:rsidP="004A24C0">
      <w:pPr>
        <w:numPr>
          <w:ilvl w:val="12"/>
          <w:numId w:val="0"/>
        </w:numPr>
        <w:jc w:val="both"/>
        <w:rPr>
          <w:rFonts w:ascii="Times New Roman" w:hAnsi="Times New Roman"/>
          <w:sz w:val="24"/>
        </w:rPr>
      </w:pPr>
    </w:p>
    <w:p w:rsidR="00280D0E" w:rsidRDefault="004A24C0" w:rsidP="00DB1D4D">
      <w:pPr>
        <w:numPr>
          <w:ilvl w:val="12"/>
          <w:numId w:val="0"/>
        </w:numPr>
        <w:jc w:val="both"/>
        <w:rPr>
          <w:rFonts w:ascii="Times New Roman" w:hAnsi="Times New Roman"/>
          <w:sz w:val="24"/>
        </w:rPr>
      </w:pPr>
      <w:r>
        <w:rPr>
          <w:rFonts w:ascii="Times New Roman" w:hAnsi="Times New Roman"/>
          <w:sz w:val="24"/>
        </w:rPr>
        <w:t>At 6 weeks of age, 2 weeks after weaning, p</w:t>
      </w:r>
      <w:r w:rsidR="00DE7CC5" w:rsidRPr="00DE7CC5">
        <w:rPr>
          <w:rFonts w:ascii="Times New Roman" w:hAnsi="Times New Roman"/>
          <w:sz w:val="24"/>
        </w:rPr>
        <w:t xml:space="preserve">iglets were injected in the neck muscles </w:t>
      </w:r>
      <w:r w:rsidR="00DB1D4D">
        <w:rPr>
          <w:rFonts w:ascii="Times New Roman" w:hAnsi="Times New Roman"/>
          <w:sz w:val="24"/>
        </w:rPr>
        <w:t xml:space="preserve">with synthetic </w:t>
      </w:r>
      <w:r w:rsidR="00DE7CC5" w:rsidRPr="00DE7CC5">
        <w:rPr>
          <w:rFonts w:ascii="Times New Roman" w:hAnsi="Times New Roman"/>
          <w:sz w:val="24"/>
        </w:rPr>
        <w:t xml:space="preserve">ACTH(1–24) </w:t>
      </w:r>
      <w:r>
        <w:rPr>
          <w:rFonts w:ascii="Times New Roman" w:hAnsi="Times New Roman"/>
          <w:sz w:val="24"/>
        </w:rPr>
        <w:t xml:space="preserve">in generation G0 and G1 (222 µg/animal) and porcine </w:t>
      </w:r>
      <w:r w:rsidRPr="00DE7CC5">
        <w:rPr>
          <w:rFonts w:ascii="Times New Roman" w:hAnsi="Times New Roman"/>
          <w:sz w:val="24"/>
        </w:rPr>
        <w:t>ACTH(1–</w:t>
      </w:r>
      <w:r>
        <w:rPr>
          <w:rFonts w:ascii="Times New Roman" w:hAnsi="Times New Roman"/>
          <w:sz w:val="24"/>
        </w:rPr>
        <w:t>39</w:t>
      </w:r>
      <w:r w:rsidRPr="00DE7CC5">
        <w:rPr>
          <w:rFonts w:ascii="Times New Roman" w:hAnsi="Times New Roman"/>
          <w:sz w:val="24"/>
        </w:rPr>
        <w:t xml:space="preserve">) </w:t>
      </w:r>
      <w:r>
        <w:rPr>
          <w:rFonts w:ascii="Times New Roman" w:hAnsi="Times New Roman"/>
          <w:sz w:val="24"/>
        </w:rPr>
        <w:t xml:space="preserve">in generation G2 and G3 (333 µg/animal). </w:t>
      </w:r>
      <w:r w:rsidR="00E137E1" w:rsidRPr="00E137E1">
        <w:rPr>
          <w:rFonts w:ascii="Times New Roman" w:hAnsi="Times New Roman"/>
          <w:sz w:val="24"/>
        </w:rPr>
        <w:t xml:space="preserve">Synacthen was replaced by ACTH(1-39) for drug regulation issues. The peak response was not different but the kinetics was a bit shorter with ACTH(1-39) </w:t>
      </w:r>
      <w:r w:rsidR="00E137E1">
        <w:rPr>
          <w:rFonts w:ascii="Times New Roman" w:hAnsi="Times New Roman"/>
          <w:sz w:val="24"/>
        </w:rPr>
        <w:t xml:space="preserve">with </w:t>
      </w:r>
      <w:r w:rsidR="00E137E1" w:rsidRPr="00E137E1">
        <w:rPr>
          <w:rFonts w:ascii="Times New Roman" w:hAnsi="Times New Roman"/>
          <w:sz w:val="24"/>
        </w:rPr>
        <w:t>lower levels at 4h post-injection.</w:t>
      </w:r>
      <w:r w:rsidR="00E137E1">
        <w:rPr>
          <w:rFonts w:ascii="Times New Roman" w:hAnsi="Times New Roman"/>
          <w:sz w:val="24"/>
        </w:rPr>
        <w:t xml:space="preserve"> </w:t>
      </w:r>
      <w:r w:rsidR="00DE7CC5" w:rsidRPr="00DE7CC5">
        <w:rPr>
          <w:rFonts w:ascii="Times New Roman" w:hAnsi="Times New Roman"/>
          <w:sz w:val="24"/>
        </w:rPr>
        <w:t xml:space="preserve">A blood sample was collected </w:t>
      </w:r>
      <w:r w:rsidR="002B6856" w:rsidRPr="00DE7CC5">
        <w:rPr>
          <w:rFonts w:ascii="Times New Roman" w:hAnsi="Times New Roman"/>
          <w:sz w:val="24"/>
        </w:rPr>
        <w:t>1</w:t>
      </w:r>
      <w:r w:rsidR="002B6856">
        <w:rPr>
          <w:rFonts w:ascii="Times New Roman" w:hAnsi="Times New Roman"/>
          <w:sz w:val="24"/>
        </w:rPr>
        <w:t> </w:t>
      </w:r>
      <w:r w:rsidR="00DE7CC5" w:rsidRPr="00DE7CC5">
        <w:rPr>
          <w:rFonts w:ascii="Times New Roman" w:hAnsi="Times New Roman"/>
          <w:sz w:val="24"/>
        </w:rPr>
        <w:t>h after</w:t>
      </w:r>
      <w:r w:rsidR="00DE7CC5">
        <w:rPr>
          <w:rFonts w:ascii="Times New Roman" w:hAnsi="Times New Roman"/>
          <w:sz w:val="24"/>
        </w:rPr>
        <w:t xml:space="preserve"> </w:t>
      </w:r>
      <w:r w:rsidR="00DE7CC5" w:rsidRPr="00DE7CC5">
        <w:rPr>
          <w:rFonts w:ascii="Times New Roman" w:hAnsi="Times New Roman"/>
          <w:sz w:val="24"/>
        </w:rPr>
        <w:t>ACTH injection. The blood samples were centrifuged and</w:t>
      </w:r>
      <w:r w:rsidR="00DE7CC5">
        <w:rPr>
          <w:rFonts w:ascii="Times New Roman" w:hAnsi="Times New Roman"/>
          <w:sz w:val="24"/>
        </w:rPr>
        <w:t xml:space="preserve"> </w:t>
      </w:r>
      <w:r w:rsidR="00DE7CC5" w:rsidRPr="00DE7CC5">
        <w:rPr>
          <w:rFonts w:ascii="Times New Roman" w:hAnsi="Times New Roman"/>
          <w:sz w:val="24"/>
        </w:rPr>
        <w:t>plasma frozen at −</w:t>
      </w:r>
      <w:r>
        <w:rPr>
          <w:rFonts w:ascii="Times New Roman" w:hAnsi="Times New Roman"/>
          <w:sz w:val="24"/>
        </w:rPr>
        <w:t>2</w:t>
      </w:r>
      <w:r w:rsidR="00DE7CC5" w:rsidRPr="00DE7CC5">
        <w:rPr>
          <w:rFonts w:ascii="Times New Roman" w:hAnsi="Times New Roman"/>
          <w:sz w:val="24"/>
        </w:rPr>
        <w:t>0°C until assay. The dose of ACTH was</w:t>
      </w:r>
      <w:r w:rsidR="00DE7CC5">
        <w:rPr>
          <w:rFonts w:ascii="Times New Roman" w:hAnsi="Times New Roman"/>
          <w:sz w:val="24"/>
        </w:rPr>
        <w:t xml:space="preserve"> </w:t>
      </w:r>
      <w:r w:rsidR="00DE7CC5" w:rsidRPr="00DE7CC5">
        <w:rPr>
          <w:rFonts w:ascii="Times New Roman" w:hAnsi="Times New Roman"/>
          <w:sz w:val="24"/>
        </w:rPr>
        <w:t>chosen to be maximally stimulating the adrenal cortex.</w:t>
      </w:r>
      <w:r w:rsidRPr="004A24C0">
        <w:t xml:space="preserve"> </w:t>
      </w:r>
      <w:r w:rsidRPr="004A24C0">
        <w:rPr>
          <w:rFonts w:ascii="Times New Roman" w:hAnsi="Times New Roman"/>
          <w:sz w:val="24"/>
        </w:rPr>
        <w:t>Plasma cortisol was measured</w:t>
      </w:r>
      <w:r w:rsidR="00DB1D4D">
        <w:rPr>
          <w:rFonts w:ascii="Times New Roman" w:hAnsi="Times New Roman"/>
          <w:sz w:val="24"/>
        </w:rPr>
        <w:t xml:space="preserve"> </w:t>
      </w:r>
      <w:r w:rsidR="00DB1D4D" w:rsidRPr="00DB1D4D">
        <w:rPr>
          <w:rFonts w:ascii="Times New Roman" w:hAnsi="Times New Roman"/>
          <w:sz w:val="24"/>
        </w:rPr>
        <w:t>by direct automated immunoassay</w:t>
      </w:r>
      <w:r w:rsidR="00DB1D4D">
        <w:rPr>
          <w:rFonts w:ascii="Times New Roman" w:hAnsi="Times New Roman"/>
          <w:sz w:val="24"/>
        </w:rPr>
        <w:t xml:space="preserve"> </w:t>
      </w:r>
      <w:r w:rsidR="00DB1D4D" w:rsidRPr="00DB1D4D">
        <w:rPr>
          <w:rFonts w:ascii="Times New Roman" w:hAnsi="Times New Roman"/>
          <w:sz w:val="24"/>
        </w:rPr>
        <w:t>(AIA-1800, Tosoh Bioscience, San Francisco, CA).</w:t>
      </w:r>
      <w:r>
        <w:rPr>
          <w:rFonts w:ascii="Times New Roman" w:hAnsi="Times New Roman"/>
          <w:sz w:val="24"/>
        </w:rPr>
        <w:t xml:space="preserve"> The selection criterion w</w:t>
      </w:r>
      <w:r w:rsidR="0015491D">
        <w:rPr>
          <w:rFonts w:ascii="Times New Roman" w:hAnsi="Times New Roman"/>
          <w:sz w:val="24"/>
        </w:rPr>
        <w:t xml:space="preserve">as the </w:t>
      </w:r>
      <w:r w:rsidR="0097553B">
        <w:rPr>
          <w:rFonts w:ascii="Times New Roman" w:hAnsi="Times New Roman"/>
          <w:sz w:val="24"/>
        </w:rPr>
        <w:t xml:space="preserve">plasma </w:t>
      </w:r>
      <w:r w:rsidR="0015491D">
        <w:rPr>
          <w:rFonts w:ascii="Times New Roman" w:hAnsi="Times New Roman"/>
          <w:sz w:val="24"/>
        </w:rPr>
        <w:t>cortisol level measured 1</w:t>
      </w:r>
      <w:r w:rsidR="00A06472">
        <w:rPr>
          <w:rFonts w:ascii="Times New Roman" w:hAnsi="Times New Roman"/>
          <w:sz w:val="24"/>
        </w:rPr>
        <w:t> </w:t>
      </w:r>
      <w:r>
        <w:rPr>
          <w:rFonts w:ascii="Times New Roman" w:hAnsi="Times New Roman"/>
          <w:sz w:val="24"/>
        </w:rPr>
        <w:t>h after ACTH injection.</w:t>
      </w:r>
    </w:p>
    <w:p w:rsidR="0015491D" w:rsidRDefault="0015491D" w:rsidP="004A24C0">
      <w:pPr>
        <w:numPr>
          <w:ilvl w:val="12"/>
          <w:numId w:val="0"/>
        </w:numPr>
        <w:jc w:val="both"/>
        <w:rPr>
          <w:rFonts w:ascii="Times New Roman" w:hAnsi="Times New Roman"/>
          <w:sz w:val="24"/>
        </w:rPr>
      </w:pPr>
    </w:p>
    <w:p w:rsidR="004A24C0" w:rsidRDefault="004A24C0" w:rsidP="004A24C0">
      <w:pPr>
        <w:numPr>
          <w:ilvl w:val="12"/>
          <w:numId w:val="0"/>
        </w:numPr>
        <w:jc w:val="both"/>
        <w:rPr>
          <w:rFonts w:ascii="Times New Roman" w:hAnsi="Times New Roman"/>
          <w:i/>
          <w:sz w:val="24"/>
        </w:rPr>
      </w:pPr>
      <w:r>
        <w:rPr>
          <w:rFonts w:ascii="Times New Roman" w:hAnsi="Times New Roman"/>
          <w:i/>
          <w:sz w:val="24"/>
        </w:rPr>
        <w:t xml:space="preserve">Growth </w:t>
      </w:r>
      <w:r w:rsidR="00C52F6F">
        <w:rPr>
          <w:rFonts w:ascii="Times New Roman" w:hAnsi="Times New Roman"/>
          <w:i/>
          <w:sz w:val="24"/>
        </w:rPr>
        <w:t>and carcass traits</w:t>
      </w:r>
    </w:p>
    <w:p w:rsidR="0015491D" w:rsidRDefault="0015491D" w:rsidP="004A24C0">
      <w:pPr>
        <w:numPr>
          <w:ilvl w:val="12"/>
          <w:numId w:val="0"/>
        </w:numPr>
        <w:jc w:val="both"/>
        <w:rPr>
          <w:rFonts w:ascii="Times New Roman" w:hAnsi="Times New Roman"/>
          <w:sz w:val="24"/>
        </w:rPr>
      </w:pPr>
    </w:p>
    <w:p w:rsidR="00DC7A26" w:rsidRDefault="004A24C0" w:rsidP="004A24C0">
      <w:pPr>
        <w:numPr>
          <w:ilvl w:val="12"/>
          <w:numId w:val="0"/>
        </w:numPr>
        <w:jc w:val="both"/>
        <w:rPr>
          <w:rFonts w:ascii="Times New Roman" w:hAnsi="Times New Roman"/>
          <w:sz w:val="24"/>
        </w:rPr>
      </w:pPr>
      <w:r>
        <w:rPr>
          <w:rFonts w:ascii="Times New Roman" w:hAnsi="Times New Roman"/>
          <w:sz w:val="24"/>
        </w:rPr>
        <w:t>Piglets were all weighed at birth, 21 days, and weaning</w:t>
      </w:r>
      <w:r w:rsidR="00E137E1">
        <w:rPr>
          <w:rFonts w:ascii="Times New Roman" w:hAnsi="Times New Roman"/>
          <w:sz w:val="24"/>
        </w:rPr>
        <w:t xml:space="preserve"> at 4 weeks of age</w:t>
      </w:r>
      <w:r>
        <w:rPr>
          <w:rFonts w:ascii="Times New Roman" w:hAnsi="Times New Roman"/>
          <w:sz w:val="24"/>
        </w:rPr>
        <w:t xml:space="preserve">. Piglets did not receive </w:t>
      </w:r>
      <w:r w:rsidR="00A06472">
        <w:rPr>
          <w:rFonts w:ascii="Times New Roman" w:hAnsi="Times New Roman"/>
          <w:sz w:val="24"/>
        </w:rPr>
        <w:t xml:space="preserve">feed </w:t>
      </w:r>
      <w:r>
        <w:rPr>
          <w:rFonts w:ascii="Times New Roman" w:hAnsi="Times New Roman"/>
          <w:sz w:val="24"/>
        </w:rPr>
        <w:t xml:space="preserve">supplement </w:t>
      </w:r>
      <w:r w:rsidR="00231F2D">
        <w:rPr>
          <w:rFonts w:ascii="Times New Roman" w:hAnsi="Times New Roman"/>
          <w:sz w:val="24"/>
        </w:rPr>
        <w:t>up to</w:t>
      </w:r>
      <w:r>
        <w:rPr>
          <w:rFonts w:ascii="Times New Roman" w:hAnsi="Times New Roman"/>
          <w:sz w:val="24"/>
        </w:rPr>
        <w:t xml:space="preserve"> 21 days of age. </w:t>
      </w:r>
      <w:r w:rsidR="00CA0C29">
        <w:rPr>
          <w:rFonts w:ascii="Times New Roman" w:hAnsi="Times New Roman"/>
          <w:sz w:val="24"/>
        </w:rPr>
        <w:t xml:space="preserve">After weaning, piglets were transferred in </w:t>
      </w:r>
      <w:r w:rsidR="0097553B">
        <w:rPr>
          <w:rFonts w:ascii="Times New Roman" w:hAnsi="Times New Roman"/>
          <w:sz w:val="24"/>
        </w:rPr>
        <w:t>post-</w:t>
      </w:r>
      <w:r w:rsidR="00CA0C29">
        <w:rPr>
          <w:rFonts w:ascii="Times New Roman" w:hAnsi="Times New Roman"/>
          <w:sz w:val="24"/>
        </w:rPr>
        <w:t xml:space="preserve">weaning units for 5 weeks and weighed at the end of the </w:t>
      </w:r>
      <w:r w:rsidR="0077222A">
        <w:rPr>
          <w:rFonts w:ascii="Times New Roman" w:hAnsi="Times New Roman"/>
          <w:sz w:val="24"/>
        </w:rPr>
        <w:t>post-</w:t>
      </w:r>
      <w:r w:rsidR="00CA0C29">
        <w:rPr>
          <w:rFonts w:ascii="Times New Roman" w:hAnsi="Times New Roman"/>
          <w:sz w:val="24"/>
        </w:rPr>
        <w:t xml:space="preserve">weaning period. </w:t>
      </w:r>
      <w:r w:rsidR="0097553B">
        <w:rPr>
          <w:rFonts w:ascii="Times New Roman" w:hAnsi="Times New Roman"/>
          <w:sz w:val="24"/>
        </w:rPr>
        <w:t>P</w:t>
      </w:r>
      <w:r w:rsidR="00FC71DF">
        <w:rPr>
          <w:rFonts w:ascii="Times New Roman" w:hAnsi="Times New Roman"/>
          <w:sz w:val="24"/>
        </w:rPr>
        <w:t xml:space="preserve">iglets </w:t>
      </w:r>
      <w:r w:rsidR="0097553B">
        <w:rPr>
          <w:rFonts w:ascii="Times New Roman" w:hAnsi="Times New Roman"/>
          <w:sz w:val="24"/>
        </w:rPr>
        <w:t xml:space="preserve">not selected as </w:t>
      </w:r>
      <w:r w:rsidR="00A06472">
        <w:rPr>
          <w:rFonts w:ascii="Times New Roman" w:hAnsi="Times New Roman"/>
          <w:sz w:val="24"/>
        </w:rPr>
        <w:t xml:space="preserve">breeders of </w:t>
      </w:r>
      <w:r w:rsidR="0097553B">
        <w:rPr>
          <w:rFonts w:ascii="Times New Roman" w:hAnsi="Times New Roman"/>
          <w:sz w:val="24"/>
        </w:rPr>
        <w:t xml:space="preserve">the next generation </w:t>
      </w:r>
      <w:r w:rsidR="00FC71DF">
        <w:rPr>
          <w:rFonts w:ascii="Times New Roman" w:hAnsi="Times New Roman"/>
          <w:sz w:val="24"/>
        </w:rPr>
        <w:t>were raised and slaughtered at an average weight of 1</w:t>
      </w:r>
      <w:r w:rsidR="0015491D">
        <w:rPr>
          <w:rFonts w:ascii="Times New Roman" w:hAnsi="Times New Roman"/>
          <w:sz w:val="24"/>
        </w:rPr>
        <w:t>0</w:t>
      </w:r>
      <w:r w:rsidR="00FC71DF">
        <w:rPr>
          <w:rFonts w:ascii="Times New Roman" w:hAnsi="Times New Roman"/>
          <w:sz w:val="24"/>
        </w:rPr>
        <w:t>0 kg. For G2 and G3 ge</w:t>
      </w:r>
      <w:r w:rsidR="00E06814">
        <w:rPr>
          <w:rFonts w:ascii="Times New Roman" w:hAnsi="Times New Roman"/>
          <w:sz w:val="24"/>
        </w:rPr>
        <w:t xml:space="preserve">neration, animals were weighed </w:t>
      </w:r>
      <w:r w:rsidR="0097553B">
        <w:rPr>
          <w:rFonts w:ascii="Times New Roman" w:hAnsi="Times New Roman"/>
          <w:sz w:val="24"/>
        </w:rPr>
        <w:t xml:space="preserve">on the </w:t>
      </w:r>
      <w:r w:rsidR="00FC71DF">
        <w:rPr>
          <w:rFonts w:ascii="Times New Roman" w:hAnsi="Times New Roman"/>
          <w:sz w:val="24"/>
        </w:rPr>
        <w:t xml:space="preserve">day before departure to </w:t>
      </w:r>
      <w:r w:rsidR="00FC71DF">
        <w:rPr>
          <w:rFonts w:ascii="Times New Roman" w:hAnsi="Times New Roman"/>
          <w:sz w:val="24"/>
        </w:rPr>
        <w:lastRenderedPageBreak/>
        <w:t>slaughterhouse. A measure of carcass lean</w:t>
      </w:r>
      <w:r w:rsidR="002D470C">
        <w:rPr>
          <w:rFonts w:ascii="Times New Roman" w:hAnsi="Times New Roman"/>
          <w:sz w:val="24"/>
        </w:rPr>
        <w:t xml:space="preserve"> percentage</w:t>
      </w:r>
      <w:r w:rsidR="00FC71DF">
        <w:rPr>
          <w:rFonts w:ascii="Times New Roman" w:hAnsi="Times New Roman"/>
          <w:sz w:val="24"/>
        </w:rPr>
        <w:t xml:space="preserve"> was provided by the slaughterhouse (Image meater procedure, </w:t>
      </w:r>
      <w:r w:rsidR="00FC71DF" w:rsidRPr="00775159">
        <w:rPr>
          <w:rFonts w:ascii="Times New Roman" w:hAnsi="Times New Roman"/>
          <w:sz w:val="24"/>
        </w:rPr>
        <w:t xml:space="preserve">Blum </w:t>
      </w:r>
      <w:r w:rsidR="00FC71DF" w:rsidRPr="002D470C">
        <w:rPr>
          <w:rFonts w:ascii="Times New Roman" w:hAnsi="Times New Roman"/>
          <w:i/>
          <w:sz w:val="24"/>
        </w:rPr>
        <w:t>et al.</w:t>
      </w:r>
      <w:r w:rsidR="00FC71DF" w:rsidRPr="00775159">
        <w:rPr>
          <w:rFonts w:ascii="Times New Roman" w:hAnsi="Times New Roman"/>
          <w:sz w:val="24"/>
        </w:rPr>
        <w:t>, 2014</w:t>
      </w:r>
      <w:r w:rsidR="00FC71DF">
        <w:rPr>
          <w:rFonts w:ascii="Times New Roman" w:hAnsi="Times New Roman"/>
          <w:sz w:val="24"/>
        </w:rPr>
        <w:t>).</w:t>
      </w:r>
      <w:r w:rsidR="0097553B">
        <w:rPr>
          <w:rFonts w:ascii="Times New Roman" w:hAnsi="Times New Roman"/>
          <w:sz w:val="24"/>
        </w:rPr>
        <w:t xml:space="preserve"> The a</w:t>
      </w:r>
      <w:r w:rsidR="00DC7A26">
        <w:rPr>
          <w:rFonts w:ascii="Times New Roman" w:hAnsi="Times New Roman"/>
          <w:sz w:val="24"/>
        </w:rPr>
        <w:t>verage daily gain w</w:t>
      </w:r>
      <w:r w:rsidR="0015491D">
        <w:rPr>
          <w:rFonts w:ascii="Times New Roman" w:hAnsi="Times New Roman"/>
          <w:sz w:val="24"/>
        </w:rPr>
        <w:t>as</w:t>
      </w:r>
      <w:r w:rsidR="00DC7A26">
        <w:rPr>
          <w:rFonts w:ascii="Times New Roman" w:hAnsi="Times New Roman"/>
          <w:sz w:val="24"/>
        </w:rPr>
        <w:t xml:space="preserve"> estimated for the lactating period (ADGl), the post-weaning period (ADGpw) and the fattening period (ADGf).</w:t>
      </w:r>
    </w:p>
    <w:p w:rsidR="00E06814" w:rsidRDefault="00E06814" w:rsidP="004A24C0">
      <w:pPr>
        <w:numPr>
          <w:ilvl w:val="12"/>
          <w:numId w:val="0"/>
        </w:numPr>
        <w:jc w:val="both"/>
        <w:rPr>
          <w:rFonts w:ascii="Times New Roman" w:hAnsi="Times New Roman"/>
          <w:sz w:val="24"/>
        </w:rPr>
      </w:pPr>
    </w:p>
    <w:p w:rsidR="00E06814" w:rsidRDefault="00E06814" w:rsidP="00E06814">
      <w:pPr>
        <w:numPr>
          <w:ilvl w:val="12"/>
          <w:numId w:val="0"/>
        </w:numPr>
        <w:jc w:val="both"/>
        <w:rPr>
          <w:rFonts w:ascii="Times New Roman" w:hAnsi="Times New Roman"/>
          <w:i/>
          <w:sz w:val="24"/>
        </w:rPr>
      </w:pPr>
      <w:r>
        <w:rPr>
          <w:rFonts w:ascii="Times New Roman" w:hAnsi="Times New Roman"/>
          <w:i/>
          <w:sz w:val="24"/>
        </w:rPr>
        <w:t>Genotyping</w:t>
      </w:r>
    </w:p>
    <w:p w:rsidR="00DE7CC5" w:rsidRDefault="00DE7CC5">
      <w:pPr>
        <w:numPr>
          <w:ilvl w:val="12"/>
          <w:numId w:val="0"/>
        </w:numPr>
        <w:rPr>
          <w:rFonts w:ascii="Times New Roman" w:hAnsi="Times New Roman"/>
          <w:sz w:val="24"/>
        </w:rPr>
      </w:pPr>
    </w:p>
    <w:p w:rsidR="00E06814" w:rsidRPr="00E06814" w:rsidRDefault="00E06814">
      <w:pPr>
        <w:numPr>
          <w:ilvl w:val="12"/>
          <w:numId w:val="0"/>
        </w:numPr>
        <w:rPr>
          <w:rFonts w:ascii="Times New Roman" w:hAnsi="Times New Roman"/>
          <w:sz w:val="24"/>
        </w:rPr>
      </w:pPr>
      <w:r>
        <w:rPr>
          <w:rFonts w:ascii="Times New Roman" w:hAnsi="Times New Roman"/>
          <w:sz w:val="24"/>
        </w:rPr>
        <w:t>The 62 unselected Large White sows, the 120 G0 piglets, the 14 F0 selected boars, the sows and boars selected as reproducers in the G1 and G2 populations as well as the extreme</w:t>
      </w:r>
      <w:r w:rsidR="0097553B">
        <w:rPr>
          <w:rFonts w:ascii="Times New Roman" w:hAnsi="Times New Roman"/>
          <w:sz w:val="24"/>
        </w:rPr>
        <w:t>s</w:t>
      </w:r>
      <w:r>
        <w:rPr>
          <w:rFonts w:ascii="Times New Roman" w:hAnsi="Times New Roman"/>
          <w:sz w:val="24"/>
        </w:rPr>
        <w:t xml:space="preserve"> from the G3 population were genotyped with an Illumina Beadchip array. Up to G1, animals were genotyped with the 60kSNP array; pigs from G2 and G3 populations were genotyped with a 70kSNP GenSeek array. </w:t>
      </w:r>
    </w:p>
    <w:p w:rsidR="00E06814" w:rsidRDefault="00E06814">
      <w:pPr>
        <w:numPr>
          <w:ilvl w:val="12"/>
          <w:numId w:val="0"/>
        </w:numPr>
        <w:rPr>
          <w:rFonts w:ascii="Times New Roman" w:hAnsi="Times New Roman"/>
          <w:color w:val="C0C0C0"/>
          <w:sz w:val="24"/>
        </w:rPr>
      </w:pPr>
    </w:p>
    <w:p w:rsidR="004A0AAC" w:rsidRPr="00C62C5C" w:rsidRDefault="004A0AAC" w:rsidP="004A0AAC">
      <w:pPr>
        <w:numPr>
          <w:ilvl w:val="12"/>
          <w:numId w:val="0"/>
        </w:numPr>
        <w:rPr>
          <w:rFonts w:ascii="Times New Roman" w:hAnsi="Times New Roman"/>
          <w:b/>
          <w:sz w:val="24"/>
        </w:rPr>
      </w:pPr>
      <w:r>
        <w:rPr>
          <w:rFonts w:ascii="Times New Roman" w:hAnsi="Times New Roman"/>
          <w:b/>
          <w:sz w:val="24"/>
        </w:rPr>
        <w:t>Statistical analyses</w:t>
      </w:r>
    </w:p>
    <w:p w:rsidR="004A0AAC" w:rsidRDefault="004A0AAC">
      <w:pPr>
        <w:numPr>
          <w:ilvl w:val="12"/>
          <w:numId w:val="0"/>
        </w:numPr>
        <w:rPr>
          <w:rFonts w:ascii="Times New Roman" w:hAnsi="Times New Roman"/>
          <w:color w:val="C0C0C0"/>
          <w:sz w:val="24"/>
        </w:rPr>
      </w:pPr>
    </w:p>
    <w:p w:rsidR="00E06814" w:rsidRPr="00E06814" w:rsidRDefault="00E06814" w:rsidP="002757F5">
      <w:pPr>
        <w:numPr>
          <w:ilvl w:val="12"/>
          <w:numId w:val="0"/>
        </w:numPr>
        <w:jc w:val="both"/>
        <w:rPr>
          <w:rFonts w:ascii="Times New Roman" w:hAnsi="Times New Roman"/>
          <w:i/>
          <w:sz w:val="24"/>
        </w:rPr>
      </w:pPr>
      <w:r w:rsidRPr="00E06814">
        <w:rPr>
          <w:rFonts w:ascii="Times New Roman" w:hAnsi="Times New Roman"/>
          <w:i/>
          <w:sz w:val="24"/>
        </w:rPr>
        <w:t>Genetic parameters and breeding values</w:t>
      </w:r>
    </w:p>
    <w:p w:rsidR="00E06814" w:rsidRDefault="00E06814" w:rsidP="002757F5">
      <w:pPr>
        <w:numPr>
          <w:ilvl w:val="12"/>
          <w:numId w:val="0"/>
        </w:numPr>
        <w:jc w:val="both"/>
        <w:rPr>
          <w:rFonts w:ascii="Times New Roman" w:hAnsi="Times New Roman"/>
          <w:sz w:val="24"/>
        </w:rPr>
      </w:pPr>
    </w:p>
    <w:p w:rsidR="002757F5" w:rsidRDefault="002757F5" w:rsidP="002757F5">
      <w:pPr>
        <w:numPr>
          <w:ilvl w:val="12"/>
          <w:numId w:val="0"/>
        </w:numPr>
        <w:jc w:val="both"/>
        <w:rPr>
          <w:rFonts w:ascii="Times New Roman" w:hAnsi="Times New Roman"/>
          <w:sz w:val="24"/>
        </w:rPr>
      </w:pPr>
      <w:r w:rsidRPr="002757F5">
        <w:rPr>
          <w:rFonts w:ascii="Times New Roman" w:hAnsi="Times New Roman"/>
          <w:sz w:val="24"/>
        </w:rPr>
        <w:t xml:space="preserve">Preliminary least squares analyses were performed using the GLM procedure of SAS to estimate the effect of </w:t>
      </w:r>
      <w:r>
        <w:rPr>
          <w:rFonts w:ascii="Times New Roman" w:hAnsi="Times New Roman"/>
          <w:sz w:val="24"/>
        </w:rPr>
        <w:t>sex, batch</w:t>
      </w:r>
      <w:r w:rsidR="00E06814">
        <w:rPr>
          <w:rFonts w:ascii="Times New Roman" w:hAnsi="Times New Roman"/>
          <w:sz w:val="24"/>
        </w:rPr>
        <w:t xml:space="preserve"> nested within generation</w:t>
      </w:r>
      <w:r>
        <w:rPr>
          <w:rFonts w:ascii="Times New Roman" w:hAnsi="Times New Roman"/>
          <w:sz w:val="24"/>
        </w:rPr>
        <w:t xml:space="preserve"> and line x generation </w:t>
      </w:r>
      <w:r w:rsidR="00B5134F">
        <w:rPr>
          <w:rFonts w:ascii="Times New Roman" w:hAnsi="Times New Roman"/>
          <w:sz w:val="24"/>
        </w:rPr>
        <w:t xml:space="preserve">combination </w:t>
      </w:r>
      <w:r>
        <w:rPr>
          <w:rFonts w:ascii="Times New Roman" w:hAnsi="Times New Roman"/>
          <w:sz w:val="24"/>
        </w:rPr>
        <w:t>on each trait.</w:t>
      </w:r>
      <w:r w:rsidR="00E06814" w:rsidRPr="00E06814">
        <w:rPr>
          <w:rFonts w:ascii="Times New Roman" w:hAnsi="Times New Roman"/>
          <w:sz w:val="24"/>
        </w:rPr>
        <w:t xml:space="preserve"> </w:t>
      </w:r>
      <w:r w:rsidR="00E06814">
        <w:rPr>
          <w:rFonts w:ascii="Times New Roman" w:hAnsi="Times New Roman"/>
          <w:sz w:val="24"/>
        </w:rPr>
        <w:t>For weights measured at birth, 21 days of age and weaning, the litter size was added as a fixed effect (</w:t>
      </w:r>
      <w:r w:rsidR="00AE1CF2">
        <w:rPr>
          <w:rFonts w:ascii="Times New Roman" w:hAnsi="Times New Roman"/>
          <w:sz w:val="24"/>
        </w:rPr>
        <w:t xml:space="preserve">reduced to </w:t>
      </w:r>
      <w:r w:rsidR="00E06814">
        <w:rPr>
          <w:rFonts w:ascii="Times New Roman" w:hAnsi="Times New Roman"/>
          <w:sz w:val="24"/>
        </w:rPr>
        <w:t xml:space="preserve">4 levels). </w:t>
      </w:r>
      <w:r w:rsidR="00E06814" w:rsidRPr="002757F5">
        <w:rPr>
          <w:rFonts w:ascii="Times New Roman" w:hAnsi="Times New Roman"/>
          <w:sz w:val="24"/>
        </w:rPr>
        <w:t>For the genetic analysis,</w:t>
      </w:r>
      <w:r w:rsidR="00E06814">
        <w:rPr>
          <w:rFonts w:ascii="Times New Roman" w:hAnsi="Times New Roman"/>
          <w:sz w:val="24"/>
        </w:rPr>
        <w:t xml:space="preserve"> the random effects of common litter and animal were also included in the model, without the line x generation effect. </w:t>
      </w:r>
      <w:r w:rsidR="00CE6E74">
        <w:rPr>
          <w:rFonts w:ascii="Times New Roman" w:hAnsi="Times New Roman"/>
          <w:sz w:val="24"/>
        </w:rPr>
        <w:t>Genetic parameters</w:t>
      </w:r>
      <w:r w:rsidRPr="002757F5">
        <w:rPr>
          <w:rFonts w:ascii="Times New Roman" w:hAnsi="Times New Roman"/>
          <w:sz w:val="24"/>
        </w:rPr>
        <w:t xml:space="preserve"> were estimated </w:t>
      </w:r>
      <w:r w:rsidR="00CE6E74">
        <w:rPr>
          <w:rFonts w:ascii="Times New Roman" w:hAnsi="Times New Roman"/>
          <w:sz w:val="24"/>
        </w:rPr>
        <w:t>with a</w:t>
      </w:r>
      <w:r w:rsidRPr="002757F5">
        <w:rPr>
          <w:rFonts w:ascii="Times New Roman" w:hAnsi="Times New Roman"/>
          <w:sz w:val="24"/>
        </w:rPr>
        <w:t xml:space="preserve"> </w:t>
      </w:r>
      <w:r w:rsidR="00E06814">
        <w:rPr>
          <w:rFonts w:ascii="Times New Roman" w:hAnsi="Times New Roman"/>
          <w:sz w:val="24"/>
        </w:rPr>
        <w:t>two</w:t>
      </w:r>
      <w:r w:rsidRPr="002757F5">
        <w:rPr>
          <w:rFonts w:ascii="Times New Roman" w:hAnsi="Times New Roman"/>
          <w:sz w:val="24"/>
        </w:rPr>
        <w:t>-trait animal model. All the ancestors of the recorded animals</w:t>
      </w:r>
      <w:r w:rsidR="00E06814">
        <w:rPr>
          <w:rFonts w:ascii="Times New Roman" w:hAnsi="Times New Roman"/>
          <w:sz w:val="24"/>
        </w:rPr>
        <w:t xml:space="preserve"> up to five generations from the F0 animals were taken into account to build the additive relationship matrix. </w:t>
      </w:r>
      <w:r w:rsidRPr="002757F5">
        <w:rPr>
          <w:rFonts w:ascii="Times New Roman" w:hAnsi="Times New Roman"/>
          <w:sz w:val="24"/>
        </w:rPr>
        <w:t>The estimation of genetic parameters was performed with VCE</w:t>
      </w:r>
      <w:r w:rsidR="00E06814">
        <w:rPr>
          <w:rFonts w:ascii="Times New Roman" w:hAnsi="Times New Roman"/>
          <w:sz w:val="24"/>
        </w:rPr>
        <w:t>6.</w:t>
      </w:r>
      <w:r w:rsidRPr="002757F5">
        <w:rPr>
          <w:rFonts w:ascii="Times New Roman" w:hAnsi="Times New Roman"/>
          <w:sz w:val="24"/>
        </w:rPr>
        <w:t xml:space="preserve"> Additive genetic breeding values were </w:t>
      </w:r>
      <w:r w:rsidR="00E06814">
        <w:rPr>
          <w:rFonts w:ascii="Times New Roman" w:hAnsi="Times New Roman"/>
          <w:sz w:val="24"/>
        </w:rPr>
        <w:t>estimated</w:t>
      </w:r>
      <w:r w:rsidRPr="002757F5">
        <w:rPr>
          <w:rFonts w:ascii="Times New Roman" w:hAnsi="Times New Roman"/>
          <w:sz w:val="24"/>
        </w:rPr>
        <w:t xml:space="preserve"> </w:t>
      </w:r>
      <w:r w:rsidR="00E06814">
        <w:rPr>
          <w:rFonts w:ascii="Times New Roman" w:hAnsi="Times New Roman"/>
          <w:sz w:val="24"/>
        </w:rPr>
        <w:t>with</w:t>
      </w:r>
      <w:r w:rsidRPr="002757F5">
        <w:rPr>
          <w:rFonts w:ascii="Times New Roman" w:hAnsi="Times New Roman"/>
          <w:sz w:val="24"/>
        </w:rPr>
        <w:t xml:space="preserve"> </w:t>
      </w:r>
      <w:r w:rsidR="00CE6E74">
        <w:rPr>
          <w:rFonts w:ascii="Times New Roman" w:hAnsi="Times New Roman"/>
          <w:sz w:val="24"/>
        </w:rPr>
        <w:t>BlupF90</w:t>
      </w:r>
      <w:r w:rsidRPr="002757F5">
        <w:rPr>
          <w:rFonts w:ascii="Times New Roman" w:hAnsi="Times New Roman"/>
          <w:sz w:val="24"/>
        </w:rPr>
        <w:t>. The response to selection</w:t>
      </w:r>
      <w:r>
        <w:rPr>
          <w:rFonts w:ascii="Times New Roman" w:hAnsi="Times New Roman"/>
          <w:sz w:val="24"/>
        </w:rPr>
        <w:t xml:space="preserve"> </w:t>
      </w:r>
      <w:r w:rsidRPr="002757F5">
        <w:rPr>
          <w:rFonts w:ascii="Times New Roman" w:hAnsi="Times New Roman"/>
          <w:sz w:val="24"/>
        </w:rPr>
        <w:t xml:space="preserve">was estimated </w:t>
      </w:r>
      <w:r w:rsidR="00E06814">
        <w:rPr>
          <w:rFonts w:ascii="Times New Roman" w:hAnsi="Times New Roman"/>
          <w:sz w:val="24"/>
        </w:rPr>
        <w:t>by</w:t>
      </w:r>
      <w:r w:rsidRPr="002757F5">
        <w:rPr>
          <w:rFonts w:ascii="Times New Roman" w:hAnsi="Times New Roman"/>
          <w:sz w:val="24"/>
        </w:rPr>
        <w:t xml:space="preserve"> averag</w:t>
      </w:r>
      <w:r w:rsidR="00E06814">
        <w:rPr>
          <w:rFonts w:ascii="Times New Roman" w:hAnsi="Times New Roman"/>
          <w:sz w:val="24"/>
        </w:rPr>
        <w:t>ing</w:t>
      </w:r>
      <w:r w:rsidRPr="002757F5">
        <w:rPr>
          <w:rFonts w:ascii="Times New Roman" w:hAnsi="Times New Roman"/>
          <w:sz w:val="24"/>
        </w:rPr>
        <w:t xml:space="preserve"> predicted breeding values </w:t>
      </w:r>
      <w:r w:rsidR="00E06814">
        <w:rPr>
          <w:rFonts w:ascii="Times New Roman" w:hAnsi="Times New Roman"/>
          <w:sz w:val="24"/>
        </w:rPr>
        <w:t>within line and generation</w:t>
      </w:r>
      <w:r w:rsidRPr="002757F5">
        <w:rPr>
          <w:rFonts w:ascii="Times New Roman" w:hAnsi="Times New Roman"/>
          <w:sz w:val="24"/>
        </w:rPr>
        <w:t xml:space="preserve">. </w:t>
      </w:r>
    </w:p>
    <w:p w:rsidR="00E06814" w:rsidRDefault="00E06814" w:rsidP="002757F5">
      <w:pPr>
        <w:numPr>
          <w:ilvl w:val="12"/>
          <w:numId w:val="0"/>
        </w:numPr>
        <w:jc w:val="both"/>
        <w:rPr>
          <w:rFonts w:ascii="Times New Roman" w:hAnsi="Times New Roman"/>
          <w:sz w:val="24"/>
        </w:rPr>
      </w:pPr>
    </w:p>
    <w:p w:rsidR="00E06814" w:rsidRPr="00E06814" w:rsidRDefault="00E06814" w:rsidP="00E06814">
      <w:pPr>
        <w:numPr>
          <w:ilvl w:val="12"/>
          <w:numId w:val="0"/>
        </w:numPr>
        <w:jc w:val="both"/>
        <w:rPr>
          <w:rFonts w:ascii="Times New Roman" w:hAnsi="Times New Roman"/>
          <w:i/>
          <w:sz w:val="24"/>
        </w:rPr>
      </w:pPr>
      <w:r>
        <w:rPr>
          <w:rFonts w:ascii="Times New Roman" w:hAnsi="Times New Roman"/>
          <w:i/>
          <w:sz w:val="24"/>
        </w:rPr>
        <w:t>Association Study</w:t>
      </w:r>
    </w:p>
    <w:p w:rsidR="00E06814" w:rsidRDefault="00E06814" w:rsidP="00E06814">
      <w:pPr>
        <w:numPr>
          <w:ilvl w:val="12"/>
          <w:numId w:val="0"/>
        </w:numPr>
        <w:jc w:val="both"/>
        <w:rPr>
          <w:rFonts w:ascii="Times New Roman" w:hAnsi="Times New Roman"/>
          <w:sz w:val="24"/>
        </w:rPr>
      </w:pPr>
    </w:p>
    <w:p w:rsidR="00E06814" w:rsidRPr="00E06814" w:rsidRDefault="00E06814" w:rsidP="00E06814">
      <w:pPr>
        <w:numPr>
          <w:ilvl w:val="12"/>
          <w:numId w:val="0"/>
        </w:numPr>
        <w:jc w:val="both"/>
        <w:rPr>
          <w:rFonts w:ascii="Times New Roman" w:hAnsi="Times New Roman"/>
          <w:sz w:val="24"/>
          <w:lang w:val="fr-FR"/>
        </w:rPr>
      </w:pPr>
      <w:r>
        <w:rPr>
          <w:rFonts w:ascii="Times New Roman" w:hAnsi="Times New Roman"/>
          <w:sz w:val="24"/>
        </w:rPr>
        <w:t xml:space="preserve">In a first step, for each type of array, SNP information was removed for SNP with a minor allele frequency less than 5% and a call rate less than 90%. In a second step, missing SNP information was imputed with the </w:t>
      </w:r>
      <w:r w:rsidRPr="00E06814">
        <w:rPr>
          <w:rFonts w:ascii="Times New Roman" w:hAnsi="Times New Roman"/>
          <w:sz w:val="24"/>
          <w:lang w:val="en-US"/>
        </w:rPr>
        <w:t xml:space="preserve">FImpute </w:t>
      </w:r>
      <w:r>
        <w:rPr>
          <w:rFonts w:ascii="Times New Roman" w:hAnsi="Times New Roman"/>
          <w:sz w:val="24"/>
          <w:lang w:val="en-US"/>
        </w:rPr>
        <w:t xml:space="preserve">software </w:t>
      </w:r>
      <w:r w:rsidRPr="00E06814">
        <w:rPr>
          <w:rFonts w:ascii="Times New Roman" w:hAnsi="Times New Roman"/>
          <w:sz w:val="24"/>
          <w:lang w:val="en-US"/>
        </w:rPr>
        <w:t xml:space="preserve">(Sargolzaei </w:t>
      </w:r>
      <w:r w:rsidRPr="002D470C">
        <w:rPr>
          <w:rFonts w:ascii="Times New Roman" w:hAnsi="Times New Roman"/>
          <w:i/>
          <w:sz w:val="24"/>
          <w:lang w:val="en-US"/>
        </w:rPr>
        <w:t>et al.</w:t>
      </w:r>
      <w:r w:rsidRPr="00E06814">
        <w:rPr>
          <w:rFonts w:ascii="Times New Roman" w:hAnsi="Times New Roman"/>
          <w:sz w:val="24"/>
          <w:lang w:val="en-US"/>
        </w:rPr>
        <w:t>, 2014).</w:t>
      </w:r>
      <w:r>
        <w:rPr>
          <w:rFonts w:ascii="Times New Roman" w:hAnsi="Times New Roman"/>
          <w:sz w:val="24"/>
          <w:lang w:val="en-US"/>
        </w:rPr>
        <w:t xml:space="preserve"> The markers were located on the genome assembly Sscrofa11.1. </w:t>
      </w:r>
      <w:r w:rsidRPr="00E06814">
        <w:rPr>
          <w:rFonts w:ascii="Times New Roman" w:hAnsi="Times New Roman"/>
          <w:sz w:val="24"/>
          <w:lang w:val="en-US"/>
        </w:rPr>
        <w:t xml:space="preserve">Association analyses were performed with the R package GenABEL (Aulchenko </w:t>
      </w:r>
      <w:r w:rsidRPr="002D470C">
        <w:rPr>
          <w:rFonts w:ascii="Times New Roman" w:hAnsi="Times New Roman"/>
          <w:i/>
          <w:sz w:val="24"/>
          <w:lang w:val="en-US"/>
        </w:rPr>
        <w:t>et al.</w:t>
      </w:r>
      <w:r w:rsidRPr="00E06814">
        <w:rPr>
          <w:rFonts w:ascii="Times New Roman" w:hAnsi="Times New Roman"/>
          <w:sz w:val="24"/>
          <w:lang w:val="en-US"/>
        </w:rPr>
        <w:t xml:space="preserve">, 2007). </w:t>
      </w:r>
    </w:p>
    <w:p w:rsidR="00E06814" w:rsidRPr="00E06814" w:rsidRDefault="00E06814" w:rsidP="00E06814">
      <w:pPr>
        <w:numPr>
          <w:ilvl w:val="12"/>
          <w:numId w:val="0"/>
        </w:numPr>
        <w:jc w:val="both"/>
        <w:rPr>
          <w:rFonts w:ascii="Times New Roman" w:hAnsi="Times New Roman"/>
          <w:sz w:val="24"/>
          <w:lang w:val="fr-FR"/>
        </w:rPr>
      </w:pPr>
    </w:p>
    <w:p w:rsidR="00E06814" w:rsidRDefault="00E06814" w:rsidP="00E06814">
      <w:pPr>
        <w:numPr>
          <w:ilvl w:val="12"/>
          <w:numId w:val="0"/>
        </w:numPr>
        <w:rPr>
          <w:rFonts w:ascii="Times New Roman" w:hAnsi="Times New Roman"/>
          <w:sz w:val="24"/>
        </w:rPr>
      </w:pPr>
      <w:r>
        <w:rPr>
          <w:rFonts w:ascii="Times New Roman" w:hAnsi="Times New Roman"/>
          <w:b/>
          <w:sz w:val="28"/>
        </w:rPr>
        <w:t xml:space="preserve">Results and discussion </w:t>
      </w:r>
    </w:p>
    <w:p w:rsidR="00E06814" w:rsidRDefault="00E06814" w:rsidP="002757F5">
      <w:pPr>
        <w:numPr>
          <w:ilvl w:val="12"/>
          <w:numId w:val="0"/>
        </w:numPr>
        <w:jc w:val="both"/>
        <w:rPr>
          <w:rFonts w:ascii="Times New Roman" w:hAnsi="Times New Roman"/>
          <w:sz w:val="24"/>
        </w:rPr>
      </w:pPr>
    </w:p>
    <w:p w:rsidR="00CE6E74" w:rsidRDefault="00CE6E74" w:rsidP="00CE6E74">
      <w:pPr>
        <w:numPr>
          <w:ilvl w:val="12"/>
          <w:numId w:val="0"/>
        </w:numPr>
        <w:rPr>
          <w:rFonts w:ascii="Times New Roman" w:hAnsi="Times New Roman"/>
          <w:sz w:val="24"/>
        </w:rPr>
      </w:pPr>
      <w:r>
        <w:rPr>
          <w:rFonts w:ascii="Times New Roman" w:hAnsi="Times New Roman"/>
          <w:b/>
          <w:sz w:val="24"/>
        </w:rPr>
        <w:t>Genetic parameters</w:t>
      </w:r>
      <w:r w:rsidR="00775159">
        <w:rPr>
          <w:rFonts w:ascii="Times New Roman" w:hAnsi="Times New Roman"/>
          <w:b/>
          <w:sz w:val="24"/>
        </w:rPr>
        <w:t xml:space="preserve"> and response to selection</w:t>
      </w:r>
    </w:p>
    <w:p w:rsidR="00CE6E74" w:rsidRDefault="00CE6E74" w:rsidP="00CE6E74">
      <w:pPr>
        <w:numPr>
          <w:ilvl w:val="12"/>
          <w:numId w:val="0"/>
        </w:numPr>
        <w:jc w:val="both"/>
        <w:rPr>
          <w:rFonts w:ascii="Times New Roman" w:hAnsi="Times New Roman"/>
          <w:sz w:val="24"/>
        </w:rPr>
      </w:pPr>
    </w:p>
    <w:p w:rsidR="00AE1CF2" w:rsidRDefault="00CE6E74" w:rsidP="00CE6E74">
      <w:pPr>
        <w:numPr>
          <w:ilvl w:val="12"/>
          <w:numId w:val="0"/>
        </w:numPr>
        <w:jc w:val="both"/>
        <w:rPr>
          <w:rFonts w:ascii="Times New Roman" w:hAnsi="Times New Roman"/>
          <w:sz w:val="24"/>
        </w:rPr>
      </w:pPr>
      <w:r>
        <w:rPr>
          <w:rFonts w:ascii="Times New Roman" w:hAnsi="Times New Roman"/>
          <w:sz w:val="24"/>
        </w:rPr>
        <w:t xml:space="preserve">The </w:t>
      </w:r>
      <w:r w:rsidR="00775159">
        <w:rPr>
          <w:rFonts w:ascii="Times New Roman" w:hAnsi="Times New Roman"/>
          <w:sz w:val="24"/>
        </w:rPr>
        <w:t>heritability value of cortisol level after ACTH injection was 0.64 (±</w:t>
      </w:r>
      <w:r w:rsidR="00AB74DD">
        <w:rPr>
          <w:rFonts w:ascii="Times New Roman" w:hAnsi="Times New Roman"/>
          <w:sz w:val="24"/>
        </w:rPr>
        <w:t xml:space="preserve"> </w:t>
      </w:r>
      <w:r w:rsidR="00775159">
        <w:rPr>
          <w:rFonts w:ascii="Times New Roman" w:hAnsi="Times New Roman"/>
          <w:sz w:val="24"/>
        </w:rPr>
        <w:t xml:space="preserve">0.03), which is very similar to the previous value (0.68) estimated in the base population (Larzul et al., 2015) and confirmed the high heritability of this trait. </w:t>
      </w:r>
      <w:r w:rsidR="00AE1CF2" w:rsidRPr="00AB74DD">
        <w:rPr>
          <w:rFonts w:ascii="Times New Roman" w:hAnsi="Times New Roman"/>
          <w:sz w:val="24"/>
        </w:rPr>
        <w:t>As expected from the heritability value, the response to selection was large. The difference between the two divergent lines after 3 selection steps was around 5 genetic standard deviations (Figure 1).</w:t>
      </w:r>
    </w:p>
    <w:p w:rsidR="004113C1" w:rsidRDefault="004113C1" w:rsidP="00CE6E74">
      <w:pPr>
        <w:numPr>
          <w:ilvl w:val="12"/>
          <w:numId w:val="0"/>
        </w:numPr>
        <w:jc w:val="both"/>
        <w:rPr>
          <w:rFonts w:ascii="Times New Roman" w:hAnsi="Times New Roman"/>
          <w:sz w:val="24"/>
        </w:rPr>
      </w:pPr>
    </w:p>
    <w:p w:rsidR="00AB74DD" w:rsidRDefault="00FC2842" w:rsidP="00AE1CF2">
      <w:pPr>
        <w:numPr>
          <w:ilvl w:val="12"/>
          <w:numId w:val="0"/>
        </w:numPr>
        <w:jc w:val="center"/>
        <w:rPr>
          <w:noProof/>
          <w:lang w:val="fr-FR" w:eastAsia="fr-FR"/>
        </w:rPr>
      </w:pPr>
      <w:r>
        <w:rPr>
          <w:noProof/>
          <w:lang w:val="fr-FR" w:eastAsia="fr-FR"/>
        </w:rPr>
        <w:lastRenderedPageBreak/>
        <w:drawing>
          <wp:inline distT="0" distB="0" distL="0" distR="0">
            <wp:extent cx="2794000" cy="1918970"/>
            <wp:effectExtent l="0" t="0" r="25400" b="24130"/>
            <wp:docPr id="1"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B74DD" w:rsidRDefault="00AB74DD" w:rsidP="00CE6E74">
      <w:pPr>
        <w:numPr>
          <w:ilvl w:val="12"/>
          <w:numId w:val="0"/>
        </w:numPr>
        <w:jc w:val="both"/>
        <w:rPr>
          <w:rFonts w:ascii="Times New Roman" w:hAnsi="Times New Roman"/>
          <w:sz w:val="24"/>
        </w:rPr>
      </w:pPr>
    </w:p>
    <w:p w:rsidR="00AB74DD" w:rsidRPr="00AE1CF2" w:rsidRDefault="00AB74DD" w:rsidP="00CE6E74">
      <w:pPr>
        <w:numPr>
          <w:ilvl w:val="12"/>
          <w:numId w:val="0"/>
        </w:numPr>
        <w:jc w:val="both"/>
        <w:rPr>
          <w:rFonts w:ascii="Times New Roman" w:hAnsi="Times New Roman"/>
          <w:i/>
          <w:sz w:val="24"/>
        </w:rPr>
      </w:pPr>
      <w:r w:rsidRPr="00AE1CF2">
        <w:rPr>
          <w:rFonts w:ascii="Times New Roman" w:hAnsi="Times New Roman"/>
          <w:i/>
          <w:sz w:val="24"/>
        </w:rPr>
        <w:t xml:space="preserve">Figure 1. Genetic evolution of </w:t>
      </w:r>
      <w:r w:rsidR="00D95C7F">
        <w:rPr>
          <w:rFonts w:ascii="Times New Roman" w:hAnsi="Times New Roman"/>
          <w:i/>
          <w:sz w:val="24"/>
        </w:rPr>
        <w:t xml:space="preserve">post-ACTH </w:t>
      </w:r>
      <w:r w:rsidRPr="00AE1CF2">
        <w:rPr>
          <w:rFonts w:ascii="Times New Roman" w:hAnsi="Times New Roman"/>
          <w:i/>
          <w:sz w:val="24"/>
        </w:rPr>
        <w:t>cortisol level</w:t>
      </w:r>
      <w:r w:rsidR="00D95C7F">
        <w:rPr>
          <w:rFonts w:ascii="Times New Roman" w:hAnsi="Times New Roman"/>
          <w:i/>
          <w:sz w:val="24"/>
        </w:rPr>
        <w:t xml:space="preserve"> in the high (H) and low (L) lines</w:t>
      </w:r>
      <w:r w:rsidRPr="00AE1CF2">
        <w:rPr>
          <w:rFonts w:ascii="Times New Roman" w:hAnsi="Times New Roman"/>
          <w:i/>
          <w:sz w:val="24"/>
        </w:rPr>
        <w:t>, in genetic standard deviation</w:t>
      </w:r>
      <w:r w:rsidR="00E137E1">
        <w:rPr>
          <w:rFonts w:ascii="Times New Roman" w:hAnsi="Times New Roman"/>
          <w:i/>
          <w:sz w:val="24"/>
        </w:rPr>
        <w:t>.</w:t>
      </w:r>
    </w:p>
    <w:p w:rsidR="00AB74DD" w:rsidRDefault="00AB74DD" w:rsidP="00CE6E74">
      <w:pPr>
        <w:numPr>
          <w:ilvl w:val="12"/>
          <w:numId w:val="0"/>
        </w:numPr>
        <w:jc w:val="both"/>
        <w:rPr>
          <w:rFonts w:ascii="Times New Roman" w:hAnsi="Times New Roman"/>
          <w:sz w:val="24"/>
        </w:rPr>
      </w:pPr>
    </w:p>
    <w:p w:rsidR="00CD124A" w:rsidRDefault="00775159" w:rsidP="00CE6E74">
      <w:pPr>
        <w:numPr>
          <w:ilvl w:val="12"/>
          <w:numId w:val="0"/>
        </w:numPr>
        <w:jc w:val="both"/>
        <w:rPr>
          <w:rFonts w:ascii="Times New Roman" w:hAnsi="Times New Roman"/>
          <w:sz w:val="24"/>
        </w:rPr>
      </w:pPr>
      <w:r>
        <w:rPr>
          <w:rFonts w:ascii="Times New Roman" w:hAnsi="Times New Roman"/>
          <w:sz w:val="24"/>
        </w:rPr>
        <w:t xml:space="preserve">The heritability values for other traits are reported in table 2 as well as genetic correlations with the selection criterion. The genetic correlations are low except for the genetic correlations between cortisol and average daily gain during the </w:t>
      </w:r>
      <w:r w:rsidR="00A06472">
        <w:rPr>
          <w:rFonts w:ascii="Times New Roman" w:hAnsi="Times New Roman"/>
          <w:sz w:val="24"/>
        </w:rPr>
        <w:t>post-</w:t>
      </w:r>
      <w:r>
        <w:rPr>
          <w:rFonts w:ascii="Times New Roman" w:hAnsi="Times New Roman"/>
          <w:sz w:val="24"/>
        </w:rPr>
        <w:t xml:space="preserve">weaning period. The negative correlation </w:t>
      </w:r>
      <w:r w:rsidR="00AB74DD">
        <w:rPr>
          <w:rFonts w:ascii="Times New Roman" w:hAnsi="Times New Roman"/>
          <w:sz w:val="24"/>
        </w:rPr>
        <w:t xml:space="preserve">shows </w:t>
      </w:r>
      <w:r>
        <w:rPr>
          <w:rFonts w:ascii="Times New Roman" w:hAnsi="Times New Roman"/>
          <w:sz w:val="24"/>
        </w:rPr>
        <w:t xml:space="preserve">that piglets with the lowest </w:t>
      </w:r>
      <w:r w:rsidR="00AB74DD">
        <w:rPr>
          <w:rFonts w:ascii="Times New Roman" w:hAnsi="Times New Roman"/>
          <w:sz w:val="24"/>
        </w:rPr>
        <w:t xml:space="preserve">cortisol levels </w:t>
      </w:r>
      <w:r>
        <w:rPr>
          <w:rFonts w:ascii="Times New Roman" w:hAnsi="Times New Roman"/>
          <w:sz w:val="24"/>
        </w:rPr>
        <w:t>tended to have a higher average daily gain after weaning, which might be related to a better ability to go through the stress of weaning</w:t>
      </w:r>
      <w:r w:rsidR="00D95C7F">
        <w:rPr>
          <w:rFonts w:ascii="Times New Roman" w:hAnsi="Times New Roman"/>
          <w:sz w:val="24"/>
        </w:rPr>
        <w:t xml:space="preserve"> (Mormede et al., 2018)</w:t>
      </w:r>
      <w:r>
        <w:rPr>
          <w:rFonts w:ascii="Times New Roman" w:hAnsi="Times New Roman"/>
          <w:sz w:val="24"/>
        </w:rPr>
        <w:t xml:space="preserve">. </w:t>
      </w:r>
    </w:p>
    <w:p w:rsidR="00CE6E74" w:rsidRDefault="00CE6E74" w:rsidP="00CE6E74">
      <w:pPr>
        <w:numPr>
          <w:ilvl w:val="12"/>
          <w:numId w:val="0"/>
        </w:numPr>
        <w:jc w:val="both"/>
        <w:rPr>
          <w:rFonts w:ascii="Times New Roman" w:hAnsi="Times New Roman"/>
          <w:sz w:val="24"/>
        </w:rPr>
      </w:pPr>
    </w:p>
    <w:p w:rsidR="00CE6E74" w:rsidRDefault="00CE6E74" w:rsidP="00CE6E74">
      <w:pPr>
        <w:numPr>
          <w:ilvl w:val="12"/>
          <w:numId w:val="0"/>
        </w:numPr>
        <w:jc w:val="both"/>
        <w:rPr>
          <w:rFonts w:ascii="Times New Roman" w:hAnsi="Times New Roman"/>
          <w:sz w:val="24"/>
        </w:rPr>
      </w:pPr>
      <w:r w:rsidRPr="00306E11">
        <w:rPr>
          <w:rFonts w:ascii="Times New Roman" w:hAnsi="Times New Roman"/>
          <w:bCs/>
          <w:i/>
          <w:iCs/>
          <w:sz w:val="24"/>
        </w:rPr>
        <w:t xml:space="preserve">Table </w:t>
      </w:r>
      <w:r>
        <w:rPr>
          <w:rFonts w:ascii="Times New Roman" w:hAnsi="Times New Roman"/>
          <w:bCs/>
          <w:i/>
          <w:iCs/>
          <w:sz w:val="24"/>
        </w:rPr>
        <w:t>2</w:t>
      </w:r>
      <w:r w:rsidRPr="00306E11">
        <w:rPr>
          <w:rFonts w:ascii="Times New Roman" w:hAnsi="Times New Roman"/>
          <w:bCs/>
          <w:i/>
          <w:iCs/>
          <w:sz w:val="24"/>
        </w:rPr>
        <w:t>.</w:t>
      </w:r>
      <w:r w:rsidRPr="00306E11">
        <w:rPr>
          <w:rFonts w:ascii="Times New Roman" w:hAnsi="Times New Roman"/>
          <w:i/>
          <w:iCs/>
          <w:sz w:val="24"/>
        </w:rPr>
        <w:t xml:space="preserve"> </w:t>
      </w:r>
      <w:r>
        <w:rPr>
          <w:rFonts w:ascii="Times New Roman" w:hAnsi="Times New Roman"/>
          <w:i/>
          <w:iCs/>
          <w:sz w:val="24"/>
        </w:rPr>
        <w:t>Genetic parameters: heritability</w:t>
      </w:r>
      <w:r>
        <w:rPr>
          <w:rFonts w:ascii="Times New Roman" w:hAnsi="Times New Roman"/>
          <w:iCs/>
          <w:sz w:val="24"/>
        </w:rPr>
        <w:t xml:space="preserve"> </w:t>
      </w:r>
      <w:r w:rsidRPr="00CE6E74">
        <w:rPr>
          <w:rFonts w:ascii="Times New Roman" w:hAnsi="Times New Roman"/>
          <w:i/>
          <w:iCs/>
          <w:sz w:val="24"/>
        </w:rPr>
        <w:t>(h²), genetic correlations with cortisol level (r</w:t>
      </w:r>
      <w:r w:rsidRPr="00775159">
        <w:rPr>
          <w:rFonts w:ascii="Times New Roman" w:hAnsi="Times New Roman"/>
          <w:i/>
          <w:iCs/>
          <w:sz w:val="24"/>
          <w:vertAlign w:val="subscript"/>
        </w:rPr>
        <w:t>g</w:t>
      </w:r>
      <w:r w:rsidRPr="00CE6E74">
        <w:rPr>
          <w:rFonts w:ascii="Times New Roman" w:hAnsi="Times New Roman"/>
          <w:i/>
          <w:iCs/>
          <w:sz w:val="24"/>
        </w:rPr>
        <w:t>), common litter effect (c²) and their standard error (se</w:t>
      </w:r>
      <w:r>
        <w:rPr>
          <w:rFonts w:ascii="Times New Roman" w:hAnsi="Times New Roman"/>
          <w:i/>
          <w:iCs/>
          <w:sz w:val="24"/>
        </w:rPr>
        <w:t>)</w:t>
      </w:r>
    </w:p>
    <w:p w:rsidR="00CE6E74" w:rsidRPr="00CE6E74" w:rsidRDefault="00CE6E74" w:rsidP="00CE6E74">
      <w:pPr>
        <w:overflowPunct/>
        <w:autoSpaceDE/>
        <w:autoSpaceDN/>
        <w:adjustRightInd/>
        <w:textAlignment w:val="auto"/>
        <w:rPr>
          <w:rFonts w:ascii="Calibri" w:eastAsia="Calibri" w:hAnsi="Calibri"/>
          <w:sz w:val="22"/>
          <w:szCs w:val="22"/>
          <w:lang w:val="en-US" w:eastAsia="en-US"/>
        </w:rPr>
      </w:pPr>
    </w:p>
    <w:tbl>
      <w:tblPr>
        <w:tblW w:w="0" w:type="auto"/>
        <w:jc w:val="center"/>
        <w:tblCellSpacing w:w="0" w:type="dxa"/>
        <w:tblBorders>
          <w:bottom w:val="single" w:sz="4" w:space="0" w:color="auto"/>
        </w:tblBorders>
        <w:tblCellMar>
          <w:top w:w="15" w:type="dxa"/>
          <w:left w:w="15" w:type="dxa"/>
          <w:bottom w:w="15" w:type="dxa"/>
          <w:right w:w="15" w:type="dxa"/>
        </w:tblCellMar>
        <w:tblLook w:val="04A0" w:firstRow="1" w:lastRow="0" w:firstColumn="1" w:lastColumn="0" w:noHBand="0" w:noVBand="1"/>
      </w:tblPr>
      <w:tblGrid>
        <w:gridCol w:w="1149"/>
        <w:gridCol w:w="709"/>
        <w:gridCol w:w="709"/>
        <w:gridCol w:w="709"/>
        <w:gridCol w:w="709"/>
        <w:gridCol w:w="708"/>
        <w:gridCol w:w="709"/>
        <w:gridCol w:w="709"/>
      </w:tblGrid>
      <w:tr w:rsidR="008C1D5D" w:rsidRPr="00CE6E74" w:rsidTr="00AE1CF2">
        <w:trPr>
          <w:trHeight w:val="255"/>
          <w:tblCellSpacing w:w="0" w:type="dxa"/>
          <w:jc w:val="center"/>
        </w:trPr>
        <w:tc>
          <w:tcPr>
            <w:tcW w:w="1149" w:type="dxa"/>
            <w:tcBorders>
              <w:top w:val="single" w:sz="4" w:space="0" w:color="auto"/>
              <w:bottom w:val="single" w:sz="4" w:space="0" w:color="auto"/>
            </w:tcBorders>
            <w:vAlign w:val="center"/>
            <w:hideMark/>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Traits</w:t>
            </w:r>
            <w:r>
              <w:rPr>
                <w:rFonts w:ascii="Times New Roman" w:hAnsi="Times New Roman"/>
                <w:vertAlign w:val="superscript"/>
              </w:rPr>
              <w:t>1</w:t>
            </w:r>
          </w:p>
        </w:tc>
        <w:tc>
          <w:tcPr>
            <w:tcW w:w="709" w:type="dxa"/>
            <w:tcBorders>
              <w:top w:val="single" w:sz="4" w:space="0" w:color="auto"/>
              <w:bottom w:val="single" w:sz="4" w:space="0" w:color="auto"/>
            </w:tcBorders>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Pr>
                <w:rFonts w:ascii="Times New Roman" w:hAnsi="Times New Roman"/>
                <w:sz w:val="24"/>
                <w:szCs w:val="24"/>
                <w:lang w:val="fr-FR" w:eastAsia="fr-FR"/>
              </w:rPr>
              <w:t>N</w:t>
            </w:r>
          </w:p>
        </w:tc>
        <w:tc>
          <w:tcPr>
            <w:tcW w:w="709" w:type="dxa"/>
            <w:tcBorders>
              <w:top w:val="single" w:sz="4" w:space="0" w:color="auto"/>
              <w:bottom w:val="single" w:sz="4" w:space="0" w:color="auto"/>
            </w:tcBorders>
            <w:vAlign w:val="center"/>
            <w:hideMark/>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h²</w:t>
            </w:r>
          </w:p>
        </w:tc>
        <w:tc>
          <w:tcPr>
            <w:tcW w:w="709" w:type="dxa"/>
            <w:tcBorders>
              <w:top w:val="single" w:sz="4" w:space="0" w:color="auto"/>
              <w:bottom w:val="single" w:sz="4" w:space="0" w:color="auto"/>
            </w:tcBorders>
            <w:vAlign w:val="center"/>
            <w:hideMark/>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r</w:t>
            </w:r>
            <w:r w:rsidRPr="00CE6E74">
              <w:rPr>
                <w:rFonts w:ascii="Times New Roman" w:hAnsi="Times New Roman"/>
                <w:sz w:val="24"/>
                <w:szCs w:val="24"/>
                <w:vertAlign w:val="subscript"/>
                <w:lang w:val="fr-FR" w:eastAsia="fr-FR"/>
              </w:rPr>
              <w:t>g</w:t>
            </w:r>
          </w:p>
        </w:tc>
        <w:tc>
          <w:tcPr>
            <w:tcW w:w="709" w:type="dxa"/>
            <w:tcBorders>
              <w:top w:val="single" w:sz="4" w:space="0" w:color="auto"/>
              <w:bottom w:val="single" w:sz="4" w:space="0" w:color="auto"/>
            </w:tcBorders>
            <w:vAlign w:val="center"/>
            <w:hideMark/>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se h²</w:t>
            </w:r>
          </w:p>
        </w:tc>
        <w:tc>
          <w:tcPr>
            <w:tcW w:w="708" w:type="dxa"/>
            <w:tcBorders>
              <w:top w:val="single" w:sz="4" w:space="0" w:color="auto"/>
              <w:bottom w:val="single" w:sz="4" w:space="0" w:color="auto"/>
            </w:tcBorders>
            <w:vAlign w:val="center"/>
            <w:hideMark/>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se r</w:t>
            </w:r>
            <w:r w:rsidRPr="00CE6E74">
              <w:rPr>
                <w:rFonts w:ascii="Times New Roman" w:hAnsi="Times New Roman"/>
                <w:sz w:val="24"/>
                <w:szCs w:val="24"/>
                <w:vertAlign w:val="subscript"/>
                <w:lang w:val="fr-FR" w:eastAsia="fr-FR"/>
              </w:rPr>
              <w:t>g</w:t>
            </w:r>
          </w:p>
        </w:tc>
        <w:tc>
          <w:tcPr>
            <w:tcW w:w="709" w:type="dxa"/>
            <w:tcBorders>
              <w:top w:val="single" w:sz="4" w:space="0" w:color="auto"/>
              <w:bottom w:val="single" w:sz="4" w:space="0" w:color="auto"/>
            </w:tcBorders>
            <w:vAlign w:val="center"/>
            <w:hideMark/>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c²</w:t>
            </w:r>
          </w:p>
        </w:tc>
        <w:tc>
          <w:tcPr>
            <w:tcW w:w="709" w:type="dxa"/>
            <w:tcBorders>
              <w:top w:val="single" w:sz="4" w:space="0" w:color="auto"/>
              <w:bottom w:val="single" w:sz="4" w:space="0" w:color="auto"/>
            </w:tcBorders>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 xml:space="preserve">se </w:t>
            </w:r>
            <w:r>
              <w:rPr>
                <w:rFonts w:ascii="Times New Roman" w:hAnsi="Times New Roman"/>
                <w:sz w:val="24"/>
                <w:szCs w:val="24"/>
                <w:lang w:val="fr-FR" w:eastAsia="fr-FR"/>
              </w:rPr>
              <w:t>c</w:t>
            </w:r>
            <w:r w:rsidRPr="00CE6E74">
              <w:rPr>
                <w:rFonts w:ascii="Times New Roman" w:hAnsi="Times New Roman"/>
                <w:sz w:val="24"/>
                <w:szCs w:val="24"/>
                <w:lang w:val="fr-FR" w:eastAsia="fr-FR"/>
              </w:rPr>
              <w:t>²</w:t>
            </w:r>
          </w:p>
        </w:tc>
      </w:tr>
      <w:tr w:rsidR="008C1D5D" w:rsidRPr="00CE6E74" w:rsidTr="00AE1CF2">
        <w:trPr>
          <w:trHeight w:val="255"/>
          <w:tblCellSpacing w:w="0" w:type="dxa"/>
          <w:jc w:val="center"/>
        </w:trPr>
        <w:tc>
          <w:tcPr>
            <w:tcW w:w="1149" w:type="dxa"/>
            <w:tcBorders>
              <w:top w:val="single" w:sz="4" w:space="0" w:color="auto"/>
              <w:bottom w:val="nil"/>
            </w:tcBorders>
            <w:vAlign w:val="center"/>
            <w:hideMark/>
          </w:tcPr>
          <w:p w:rsidR="008C1D5D" w:rsidRPr="00CE6E74" w:rsidRDefault="008C1D5D" w:rsidP="00CE6E74">
            <w:pPr>
              <w:overflowPunct/>
              <w:autoSpaceDE/>
              <w:autoSpaceDN/>
              <w:adjustRightInd/>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BW</w:t>
            </w:r>
          </w:p>
        </w:tc>
        <w:tc>
          <w:tcPr>
            <w:tcW w:w="709" w:type="dxa"/>
            <w:tcBorders>
              <w:top w:val="single" w:sz="4" w:space="0" w:color="auto"/>
              <w:bottom w:val="nil"/>
            </w:tcBorders>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Pr>
                <w:rFonts w:ascii="Times New Roman" w:hAnsi="Times New Roman"/>
                <w:sz w:val="24"/>
                <w:szCs w:val="24"/>
                <w:lang w:val="fr-FR" w:eastAsia="fr-FR"/>
              </w:rPr>
              <w:t>3405</w:t>
            </w:r>
          </w:p>
        </w:tc>
        <w:tc>
          <w:tcPr>
            <w:tcW w:w="709" w:type="dxa"/>
            <w:tcBorders>
              <w:top w:val="single" w:sz="4" w:space="0" w:color="auto"/>
              <w:bottom w:val="nil"/>
            </w:tcBorders>
            <w:vAlign w:val="center"/>
            <w:hideMark/>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0.18</w:t>
            </w:r>
          </w:p>
        </w:tc>
        <w:tc>
          <w:tcPr>
            <w:tcW w:w="709" w:type="dxa"/>
            <w:tcBorders>
              <w:top w:val="single" w:sz="4" w:space="0" w:color="auto"/>
              <w:bottom w:val="nil"/>
            </w:tcBorders>
            <w:vAlign w:val="center"/>
            <w:hideMark/>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-0.04</w:t>
            </w:r>
          </w:p>
        </w:tc>
        <w:tc>
          <w:tcPr>
            <w:tcW w:w="709" w:type="dxa"/>
            <w:tcBorders>
              <w:top w:val="single" w:sz="4" w:space="0" w:color="auto"/>
              <w:bottom w:val="nil"/>
            </w:tcBorders>
            <w:vAlign w:val="center"/>
            <w:hideMark/>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0.05</w:t>
            </w:r>
          </w:p>
        </w:tc>
        <w:tc>
          <w:tcPr>
            <w:tcW w:w="708" w:type="dxa"/>
            <w:tcBorders>
              <w:top w:val="single" w:sz="4" w:space="0" w:color="auto"/>
              <w:bottom w:val="nil"/>
            </w:tcBorders>
            <w:vAlign w:val="center"/>
            <w:hideMark/>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0.09</w:t>
            </w:r>
          </w:p>
        </w:tc>
        <w:tc>
          <w:tcPr>
            <w:tcW w:w="709" w:type="dxa"/>
            <w:tcBorders>
              <w:top w:val="single" w:sz="4" w:space="0" w:color="auto"/>
              <w:bottom w:val="nil"/>
            </w:tcBorders>
            <w:vAlign w:val="center"/>
            <w:hideMark/>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0.24</w:t>
            </w:r>
          </w:p>
        </w:tc>
        <w:tc>
          <w:tcPr>
            <w:tcW w:w="709" w:type="dxa"/>
            <w:tcBorders>
              <w:top w:val="single" w:sz="4" w:space="0" w:color="auto"/>
              <w:bottom w:val="nil"/>
            </w:tcBorders>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Pr>
                <w:rFonts w:ascii="Times New Roman" w:hAnsi="Times New Roman"/>
                <w:sz w:val="24"/>
                <w:szCs w:val="24"/>
                <w:lang w:val="fr-FR" w:eastAsia="fr-FR"/>
              </w:rPr>
              <w:t>0.02</w:t>
            </w:r>
          </w:p>
        </w:tc>
      </w:tr>
      <w:tr w:rsidR="008C1D5D" w:rsidRPr="00CE6E74" w:rsidTr="00AE1CF2">
        <w:trPr>
          <w:trHeight w:val="255"/>
          <w:tblCellSpacing w:w="0" w:type="dxa"/>
          <w:jc w:val="center"/>
        </w:trPr>
        <w:tc>
          <w:tcPr>
            <w:tcW w:w="1149" w:type="dxa"/>
            <w:tcBorders>
              <w:bottom w:val="nil"/>
            </w:tcBorders>
            <w:vAlign w:val="center"/>
            <w:hideMark/>
          </w:tcPr>
          <w:p w:rsidR="008C1D5D" w:rsidRPr="00CE6E74" w:rsidRDefault="008C1D5D" w:rsidP="00CE6E74">
            <w:pPr>
              <w:overflowPunct/>
              <w:autoSpaceDE/>
              <w:autoSpaceDN/>
              <w:adjustRightInd/>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W21</w:t>
            </w:r>
          </w:p>
        </w:tc>
        <w:tc>
          <w:tcPr>
            <w:tcW w:w="709" w:type="dxa"/>
            <w:tcBorders>
              <w:bottom w:val="nil"/>
            </w:tcBorders>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Pr>
                <w:rFonts w:ascii="Times New Roman" w:hAnsi="Times New Roman"/>
                <w:sz w:val="24"/>
                <w:szCs w:val="24"/>
                <w:lang w:val="fr-FR" w:eastAsia="fr-FR"/>
              </w:rPr>
              <w:t>2538</w:t>
            </w:r>
          </w:p>
        </w:tc>
        <w:tc>
          <w:tcPr>
            <w:tcW w:w="709" w:type="dxa"/>
            <w:tcBorders>
              <w:bottom w:val="nil"/>
            </w:tcBorders>
            <w:vAlign w:val="center"/>
            <w:hideMark/>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0.16</w:t>
            </w:r>
          </w:p>
        </w:tc>
        <w:tc>
          <w:tcPr>
            <w:tcW w:w="709" w:type="dxa"/>
            <w:tcBorders>
              <w:bottom w:val="nil"/>
            </w:tcBorders>
            <w:vAlign w:val="center"/>
            <w:hideMark/>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0.01</w:t>
            </w:r>
          </w:p>
        </w:tc>
        <w:tc>
          <w:tcPr>
            <w:tcW w:w="709" w:type="dxa"/>
            <w:tcBorders>
              <w:bottom w:val="nil"/>
            </w:tcBorders>
            <w:vAlign w:val="center"/>
            <w:hideMark/>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0.06</w:t>
            </w:r>
          </w:p>
        </w:tc>
        <w:tc>
          <w:tcPr>
            <w:tcW w:w="708" w:type="dxa"/>
            <w:tcBorders>
              <w:bottom w:val="nil"/>
            </w:tcBorders>
            <w:vAlign w:val="center"/>
            <w:hideMark/>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0.1</w:t>
            </w:r>
            <w:r>
              <w:rPr>
                <w:rFonts w:ascii="Times New Roman" w:hAnsi="Times New Roman"/>
                <w:sz w:val="24"/>
                <w:szCs w:val="24"/>
                <w:lang w:val="fr-FR" w:eastAsia="fr-FR"/>
              </w:rPr>
              <w:t>0</w:t>
            </w:r>
          </w:p>
        </w:tc>
        <w:tc>
          <w:tcPr>
            <w:tcW w:w="709" w:type="dxa"/>
            <w:tcBorders>
              <w:bottom w:val="nil"/>
            </w:tcBorders>
            <w:vAlign w:val="center"/>
            <w:hideMark/>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0.39</w:t>
            </w:r>
          </w:p>
        </w:tc>
        <w:tc>
          <w:tcPr>
            <w:tcW w:w="709" w:type="dxa"/>
            <w:tcBorders>
              <w:bottom w:val="nil"/>
            </w:tcBorders>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Pr>
                <w:rFonts w:ascii="Times New Roman" w:hAnsi="Times New Roman"/>
                <w:sz w:val="24"/>
                <w:szCs w:val="24"/>
                <w:lang w:val="fr-FR" w:eastAsia="fr-FR"/>
              </w:rPr>
              <w:t>0.03</w:t>
            </w:r>
          </w:p>
        </w:tc>
      </w:tr>
      <w:tr w:rsidR="008C1D5D" w:rsidRPr="00CE6E74" w:rsidTr="00AE1CF2">
        <w:trPr>
          <w:trHeight w:val="255"/>
          <w:tblCellSpacing w:w="0" w:type="dxa"/>
          <w:jc w:val="center"/>
        </w:trPr>
        <w:tc>
          <w:tcPr>
            <w:tcW w:w="1149" w:type="dxa"/>
            <w:tcBorders>
              <w:bottom w:val="nil"/>
            </w:tcBorders>
            <w:vAlign w:val="center"/>
            <w:hideMark/>
          </w:tcPr>
          <w:p w:rsidR="008C1D5D" w:rsidRPr="00CE6E74" w:rsidRDefault="008C1D5D" w:rsidP="00CE6E74">
            <w:pPr>
              <w:overflowPunct/>
              <w:autoSpaceDE/>
              <w:autoSpaceDN/>
              <w:adjustRightInd/>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WW</w:t>
            </w:r>
          </w:p>
        </w:tc>
        <w:tc>
          <w:tcPr>
            <w:tcW w:w="709" w:type="dxa"/>
            <w:tcBorders>
              <w:bottom w:val="nil"/>
            </w:tcBorders>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Pr>
                <w:rFonts w:ascii="Times New Roman" w:hAnsi="Times New Roman"/>
                <w:sz w:val="24"/>
                <w:szCs w:val="24"/>
                <w:lang w:val="fr-FR" w:eastAsia="fr-FR"/>
              </w:rPr>
              <w:t>2491</w:t>
            </w:r>
          </w:p>
        </w:tc>
        <w:tc>
          <w:tcPr>
            <w:tcW w:w="709" w:type="dxa"/>
            <w:tcBorders>
              <w:bottom w:val="nil"/>
            </w:tcBorders>
            <w:vAlign w:val="center"/>
            <w:hideMark/>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0.11</w:t>
            </w:r>
          </w:p>
        </w:tc>
        <w:tc>
          <w:tcPr>
            <w:tcW w:w="709" w:type="dxa"/>
            <w:tcBorders>
              <w:bottom w:val="nil"/>
            </w:tcBorders>
            <w:vAlign w:val="center"/>
            <w:hideMark/>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0</w:t>
            </w:r>
            <w:r>
              <w:rPr>
                <w:rFonts w:ascii="Times New Roman" w:hAnsi="Times New Roman"/>
                <w:sz w:val="24"/>
                <w:szCs w:val="24"/>
                <w:lang w:val="fr-FR" w:eastAsia="fr-FR"/>
              </w:rPr>
              <w:t>.00</w:t>
            </w:r>
          </w:p>
        </w:tc>
        <w:tc>
          <w:tcPr>
            <w:tcW w:w="709" w:type="dxa"/>
            <w:tcBorders>
              <w:bottom w:val="nil"/>
            </w:tcBorders>
            <w:vAlign w:val="center"/>
            <w:hideMark/>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0.05</w:t>
            </w:r>
          </w:p>
        </w:tc>
        <w:tc>
          <w:tcPr>
            <w:tcW w:w="708" w:type="dxa"/>
            <w:tcBorders>
              <w:bottom w:val="nil"/>
            </w:tcBorders>
            <w:vAlign w:val="center"/>
            <w:hideMark/>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0.11</w:t>
            </w:r>
          </w:p>
        </w:tc>
        <w:tc>
          <w:tcPr>
            <w:tcW w:w="709" w:type="dxa"/>
            <w:tcBorders>
              <w:bottom w:val="nil"/>
            </w:tcBorders>
            <w:vAlign w:val="center"/>
            <w:hideMark/>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0.44</w:t>
            </w:r>
          </w:p>
        </w:tc>
        <w:tc>
          <w:tcPr>
            <w:tcW w:w="709" w:type="dxa"/>
            <w:tcBorders>
              <w:bottom w:val="nil"/>
            </w:tcBorders>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Pr>
                <w:rFonts w:ascii="Times New Roman" w:hAnsi="Times New Roman"/>
                <w:sz w:val="24"/>
                <w:szCs w:val="24"/>
                <w:lang w:val="fr-FR" w:eastAsia="fr-FR"/>
              </w:rPr>
              <w:t>0.03</w:t>
            </w:r>
          </w:p>
        </w:tc>
      </w:tr>
      <w:tr w:rsidR="008C1D5D" w:rsidRPr="00CE6E74" w:rsidTr="00AE1CF2">
        <w:trPr>
          <w:trHeight w:val="255"/>
          <w:tblCellSpacing w:w="0" w:type="dxa"/>
          <w:jc w:val="center"/>
        </w:trPr>
        <w:tc>
          <w:tcPr>
            <w:tcW w:w="1149" w:type="dxa"/>
            <w:tcBorders>
              <w:bottom w:val="single" w:sz="4" w:space="0" w:color="auto"/>
            </w:tcBorders>
            <w:vAlign w:val="center"/>
            <w:hideMark/>
          </w:tcPr>
          <w:p w:rsidR="008C1D5D" w:rsidRPr="00CE6E74" w:rsidRDefault="008C1D5D" w:rsidP="00CE6E74">
            <w:pPr>
              <w:overflowPunct/>
              <w:autoSpaceDE/>
              <w:autoSpaceDN/>
              <w:adjustRightInd/>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WPW</w:t>
            </w:r>
          </w:p>
        </w:tc>
        <w:tc>
          <w:tcPr>
            <w:tcW w:w="709" w:type="dxa"/>
            <w:tcBorders>
              <w:bottom w:val="single" w:sz="4" w:space="0" w:color="auto"/>
            </w:tcBorders>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Pr>
                <w:rFonts w:ascii="Times New Roman" w:hAnsi="Times New Roman"/>
                <w:sz w:val="24"/>
                <w:szCs w:val="24"/>
                <w:lang w:val="fr-FR" w:eastAsia="fr-FR"/>
              </w:rPr>
              <w:t>2486</w:t>
            </w:r>
          </w:p>
        </w:tc>
        <w:tc>
          <w:tcPr>
            <w:tcW w:w="709" w:type="dxa"/>
            <w:tcBorders>
              <w:bottom w:val="single" w:sz="4" w:space="0" w:color="auto"/>
            </w:tcBorders>
            <w:vAlign w:val="center"/>
            <w:hideMark/>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0.06</w:t>
            </w:r>
          </w:p>
        </w:tc>
        <w:tc>
          <w:tcPr>
            <w:tcW w:w="709" w:type="dxa"/>
            <w:tcBorders>
              <w:bottom w:val="single" w:sz="4" w:space="0" w:color="auto"/>
            </w:tcBorders>
            <w:vAlign w:val="center"/>
            <w:hideMark/>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-0.15</w:t>
            </w:r>
          </w:p>
        </w:tc>
        <w:tc>
          <w:tcPr>
            <w:tcW w:w="709" w:type="dxa"/>
            <w:tcBorders>
              <w:bottom w:val="single" w:sz="4" w:space="0" w:color="auto"/>
            </w:tcBorders>
            <w:vAlign w:val="center"/>
            <w:hideMark/>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0.04</w:t>
            </w:r>
          </w:p>
        </w:tc>
        <w:tc>
          <w:tcPr>
            <w:tcW w:w="708" w:type="dxa"/>
            <w:tcBorders>
              <w:bottom w:val="single" w:sz="4" w:space="0" w:color="auto"/>
            </w:tcBorders>
            <w:vAlign w:val="center"/>
            <w:hideMark/>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0.15</w:t>
            </w:r>
          </w:p>
        </w:tc>
        <w:tc>
          <w:tcPr>
            <w:tcW w:w="709" w:type="dxa"/>
            <w:tcBorders>
              <w:bottom w:val="single" w:sz="4" w:space="0" w:color="auto"/>
            </w:tcBorders>
            <w:vAlign w:val="center"/>
            <w:hideMark/>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0.11</w:t>
            </w:r>
          </w:p>
        </w:tc>
        <w:tc>
          <w:tcPr>
            <w:tcW w:w="709" w:type="dxa"/>
            <w:tcBorders>
              <w:bottom w:val="single" w:sz="4" w:space="0" w:color="auto"/>
            </w:tcBorders>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Pr>
                <w:rFonts w:ascii="Times New Roman" w:hAnsi="Times New Roman"/>
                <w:sz w:val="24"/>
                <w:szCs w:val="24"/>
                <w:lang w:val="fr-FR" w:eastAsia="fr-FR"/>
              </w:rPr>
              <w:t>0.02</w:t>
            </w:r>
          </w:p>
        </w:tc>
      </w:tr>
      <w:tr w:rsidR="008C1D5D" w:rsidRPr="00CE6E74" w:rsidTr="00AE1CF2">
        <w:trPr>
          <w:trHeight w:val="255"/>
          <w:tblCellSpacing w:w="0" w:type="dxa"/>
          <w:jc w:val="center"/>
        </w:trPr>
        <w:tc>
          <w:tcPr>
            <w:tcW w:w="1149" w:type="dxa"/>
            <w:vAlign w:val="center"/>
            <w:hideMark/>
          </w:tcPr>
          <w:p w:rsidR="008C1D5D" w:rsidRPr="00CE6E74" w:rsidRDefault="008C1D5D" w:rsidP="00CE6E74">
            <w:pPr>
              <w:overflowPunct/>
              <w:autoSpaceDE/>
              <w:autoSpaceDN/>
              <w:adjustRightInd/>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ADGl</w:t>
            </w:r>
          </w:p>
        </w:tc>
        <w:tc>
          <w:tcPr>
            <w:tcW w:w="709" w:type="dxa"/>
          </w:tcPr>
          <w:p w:rsidR="008C1D5D" w:rsidRPr="00CE6E74" w:rsidRDefault="008C1D5D" w:rsidP="008C1D5D">
            <w:pPr>
              <w:overflowPunct/>
              <w:autoSpaceDE/>
              <w:autoSpaceDN/>
              <w:adjustRightInd/>
              <w:jc w:val="center"/>
              <w:textAlignment w:val="auto"/>
              <w:rPr>
                <w:rFonts w:ascii="Times New Roman" w:hAnsi="Times New Roman"/>
                <w:sz w:val="24"/>
                <w:szCs w:val="24"/>
                <w:lang w:val="fr-FR" w:eastAsia="fr-FR"/>
              </w:rPr>
            </w:pPr>
            <w:r>
              <w:rPr>
                <w:rFonts w:ascii="Times New Roman" w:hAnsi="Times New Roman"/>
                <w:sz w:val="24"/>
                <w:szCs w:val="24"/>
                <w:lang w:val="fr-FR" w:eastAsia="fr-FR"/>
              </w:rPr>
              <w:t>2491</w:t>
            </w:r>
          </w:p>
        </w:tc>
        <w:tc>
          <w:tcPr>
            <w:tcW w:w="709" w:type="dxa"/>
            <w:vAlign w:val="center"/>
            <w:hideMark/>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0.07</w:t>
            </w:r>
          </w:p>
        </w:tc>
        <w:tc>
          <w:tcPr>
            <w:tcW w:w="709" w:type="dxa"/>
            <w:vAlign w:val="center"/>
            <w:hideMark/>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0.02</w:t>
            </w:r>
          </w:p>
        </w:tc>
        <w:tc>
          <w:tcPr>
            <w:tcW w:w="709" w:type="dxa"/>
            <w:vAlign w:val="center"/>
            <w:hideMark/>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0.05</w:t>
            </w:r>
          </w:p>
        </w:tc>
        <w:tc>
          <w:tcPr>
            <w:tcW w:w="708" w:type="dxa"/>
            <w:vAlign w:val="center"/>
            <w:hideMark/>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0.13</w:t>
            </w:r>
          </w:p>
        </w:tc>
        <w:tc>
          <w:tcPr>
            <w:tcW w:w="709" w:type="dxa"/>
            <w:vAlign w:val="center"/>
            <w:hideMark/>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0.46</w:t>
            </w:r>
          </w:p>
        </w:tc>
        <w:tc>
          <w:tcPr>
            <w:tcW w:w="709" w:type="dxa"/>
          </w:tcPr>
          <w:p w:rsidR="008C1D5D" w:rsidRPr="00CE6E74" w:rsidRDefault="008C1D5D" w:rsidP="008C1D5D">
            <w:pPr>
              <w:overflowPunct/>
              <w:autoSpaceDE/>
              <w:autoSpaceDN/>
              <w:adjustRightInd/>
              <w:jc w:val="center"/>
              <w:textAlignment w:val="auto"/>
              <w:rPr>
                <w:rFonts w:ascii="Times New Roman" w:hAnsi="Times New Roman"/>
                <w:sz w:val="24"/>
                <w:szCs w:val="24"/>
                <w:lang w:val="fr-FR" w:eastAsia="fr-FR"/>
              </w:rPr>
            </w:pPr>
            <w:r>
              <w:rPr>
                <w:rFonts w:ascii="Times New Roman" w:hAnsi="Times New Roman"/>
                <w:sz w:val="24"/>
                <w:szCs w:val="24"/>
                <w:lang w:val="fr-FR" w:eastAsia="fr-FR"/>
              </w:rPr>
              <w:t>0.03</w:t>
            </w:r>
          </w:p>
        </w:tc>
      </w:tr>
      <w:tr w:rsidR="008C1D5D" w:rsidRPr="00CE6E74" w:rsidTr="00AE1CF2">
        <w:trPr>
          <w:trHeight w:val="255"/>
          <w:tblCellSpacing w:w="0" w:type="dxa"/>
          <w:jc w:val="center"/>
        </w:trPr>
        <w:tc>
          <w:tcPr>
            <w:tcW w:w="1149" w:type="dxa"/>
            <w:vAlign w:val="center"/>
            <w:hideMark/>
          </w:tcPr>
          <w:p w:rsidR="008C1D5D" w:rsidRPr="00CE6E74" w:rsidRDefault="008C1D5D" w:rsidP="00CE6E74">
            <w:pPr>
              <w:overflowPunct/>
              <w:autoSpaceDE/>
              <w:autoSpaceDN/>
              <w:adjustRightInd/>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ADGpw</w:t>
            </w:r>
          </w:p>
        </w:tc>
        <w:tc>
          <w:tcPr>
            <w:tcW w:w="709" w:type="dxa"/>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Pr>
                <w:rFonts w:ascii="Times New Roman" w:hAnsi="Times New Roman"/>
                <w:sz w:val="24"/>
                <w:szCs w:val="24"/>
                <w:lang w:val="fr-FR" w:eastAsia="fr-FR"/>
              </w:rPr>
              <w:t>2464</w:t>
            </w:r>
          </w:p>
        </w:tc>
        <w:tc>
          <w:tcPr>
            <w:tcW w:w="709" w:type="dxa"/>
            <w:vAlign w:val="center"/>
            <w:hideMark/>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0.18</w:t>
            </w:r>
          </w:p>
        </w:tc>
        <w:tc>
          <w:tcPr>
            <w:tcW w:w="709" w:type="dxa"/>
            <w:vAlign w:val="center"/>
            <w:hideMark/>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-0.22</w:t>
            </w:r>
          </w:p>
        </w:tc>
        <w:tc>
          <w:tcPr>
            <w:tcW w:w="709" w:type="dxa"/>
            <w:vAlign w:val="center"/>
            <w:hideMark/>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0.06</w:t>
            </w:r>
          </w:p>
        </w:tc>
        <w:tc>
          <w:tcPr>
            <w:tcW w:w="708" w:type="dxa"/>
            <w:vAlign w:val="center"/>
            <w:hideMark/>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0.1</w:t>
            </w:r>
            <w:r>
              <w:rPr>
                <w:rFonts w:ascii="Times New Roman" w:hAnsi="Times New Roman"/>
                <w:sz w:val="24"/>
                <w:szCs w:val="24"/>
                <w:lang w:val="fr-FR" w:eastAsia="fr-FR"/>
              </w:rPr>
              <w:t>0</w:t>
            </w:r>
          </w:p>
        </w:tc>
        <w:tc>
          <w:tcPr>
            <w:tcW w:w="709" w:type="dxa"/>
            <w:vAlign w:val="center"/>
            <w:hideMark/>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0.14</w:t>
            </w:r>
          </w:p>
        </w:tc>
        <w:tc>
          <w:tcPr>
            <w:tcW w:w="709" w:type="dxa"/>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Pr>
                <w:rFonts w:ascii="Times New Roman" w:hAnsi="Times New Roman"/>
                <w:sz w:val="24"/>
                <w:szCs w:val="24"/>
                <w:lang w:val="fr-FR" w:eastAsia="fr-FR"/>
              </w:rPr>
              <w:t>0.02</w:t>
            </w:r>
          </w:p>
        </w:tc>
      </w:tr>
      <w:tr w:rsidR="008C1D5D" w:rsidRPr="00CE6E74" w:rsidTr="00AE1CF2">
        <w:trPr>
          <w:trHeight w:val="255"/>
          <w:tblCellSpacing w:w="0" w:type="dxa"/>
          <w:jc w:val="center"/>
        </w:trPr>
        <w:tc>
          <w:tcPr>
            <w:tcW w:w="1149" w:type="dxa"/>
            <w:vAlign w:val="center"/>
            <w:hideMark/>
          </w:tcPr>
          <w:p w:rsidR="008C1D5D" w:rsidRPr="00CE6E74" w:rsidRDefault="008C1D5D" w:rsidP="00CE6E74">
            <w:pPr>
              <w:overflowPunct/>
              <w:autoSpaceDE/>
              <w:autoSpaceDN/>
              <w:adjustRightInd/>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ADGf</w:t>
            </w:r>
          </w:p>
        </w:tc>
        <w:tc>
          <w:tcPr>
            <w:tcW w:w="709" w:type="dxa"/>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Pr>
                <w:rFonts w:ascii="Times New Roman" w:hAnsi="Times New Roman"/>
                <w:sz w:val="24"/>
                <w:szCs w:val="24"/>
                <w:lang w:val="fr-FR" w:eastAsia="fr-FR"/>
              </w:rPr>
              <w:t>984</w:t>
            </w:r>
          </w:p>
        </w:tc>
        <w:tc>
          <w:tcPr>
            <w:tcW w:w="709" w:type="dxa"/>
            <w:vAlign w:val="center"/>
            <w:hideMark/>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0.21</w:t>
            </w:r>
          </w:p>
        </w:tc>
        <w:tc>
          <w:tcPr>
            <w:tcW w:w="709" w:type="dxa"/>
            <w:vAlign w:val="center"/>
            <w:hideMark/>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0.01</w:t>
            </w:r>
          </w:p>
        </w:tc>
        <w:tc>
          <w:tcPr>
            <w:tcW w:w="709" w:type="dxa"/>
            <w:vAlign w:val="center"/>
            <w:hideMark/>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0.08</w:t>
            </w:r>
          </w:p>
        </w:tc>
        <w:tc>
          <w:tcPr>
            <w:tcW w:w="708" w:type="dxa"/>
            <w:vAlign w:val="center"/>
            <w:hideMark/>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0.11</w:t>
            </w:r>
          </w:p>
        </w:tc>
        <w:tc>
          <w:tcPr>
            <w:tcW w:w="709" w:type="dxa"/>
            <w:vAlign w:val="center"/>
            <w:hideMark/>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0.12</w:t>
            </w:r>
          </w:p>
        </w:tc>
        <w:tc>
          <w:tcPr>
            <w:tcW w:w="709" w:type="dxa"/>
          </w:tcPr>
          <w:p w:rsidR="008C1D5D" w:rsidRPr="00CE6E74" w:rsidRDefault="008C1D5D" w:rsidP="008C1D5D">
            <w:pPr>
              <w:overflowPunct/>
              <w:autoSpaceDE/>
              <w:autoSpaceDN/>
              <w:adjustRightInd/>
              <w:jc w:val="center"/>
              <w:textAlignment w:val="auto"/>
              <w:rPr>
                <w:rFonts w:ascii="Times New Roman" w:hAnsi="Times New Roman"/>
                <w:sz w:val="24"/>
                <w:szCs w:val="24"/>
                <w:lang w:val="fr-FR" w:eastAsia="fr-FR"/>
              </w:rPr>
            </w:pPr>
            <w:r>
              <w:rPr>
                <w:rFonts w:ascii="Times New Roman" w:hAnsi="Times New Roman"/>
                <w:sz w:val="24"/>
                <w:szCs w:val="24"/>
                <w:lang w:val="fr-FR" w:eastAsia="fr-FR"/>
              </w:rPr>
              <w:t>0.03</w:t>
            </w:r>
          </w:p>
        </w:tc>
      </w:tr>
      <w:tr w:rsidR="008C1D5D" w:rsidRPr="00CE6E74" w:rsidTr="00AE1CF2">
        <w:trPr>
          <w:trHeight w:val="255"/>
          <w:tblCellSpacing w:w="0" w:type="dxa"/>
          <w:jc w:val="center"/>
        </w:trPr>
        <w:tc>
          <w:tcPr>
            <w:tcW w:w="1149" w:type="dxa"/>
            <w:vAlign w:val="center"/>
            <w:hideMark/>
          </w:tcPr>
          <w:p w:rsidR="008C1D5D" w:rsidRPr="00CE6E74" w:rsidRDefault="008C1D5D" w:rsidP="00CE6E74">
            <w:pPr>
              <w:overflowPunct/>
              <w:autoSpaceDE/>
              <w:autoSpaceDN/>
              <w:adjustRightInd/>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Lean%</w:t>
            </w:r>
          </w:p>
        </w:tc>
        <w:tc>
          <w:tcPr>
            <w:tcW w:w="709" w:type="dxa"/>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Pr>
                <w:rFonts w:ascii="Times New Roman" w:hAnsi="Times New Roman"/>
                <w:sz w:val="24"/>
                <w:szCs w:val="24"/>
                <w:lang w:val="fr-FR" w:eastAsia="fr-FR"/>
              </w:rPr>
              <w:t>600</w:t>
            </w:r>
          </w:p>
        </w:tc>
        <w:tc>
          <w:tcPr>
            <w:tcW w:w="709" w:type="dxa"/>
            <w:vAlign w:val="center"/>
            <w:hideMark/>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0.46</w:t>
            </w:r>
          </w:p>
        </w:tc>
        <w:tc>
          <w:tcPr>
            <w:tcW w:w="709" w:type="dxa"/>
            <w:vAlign w:val="center"/>
            <w:hideMark/>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0.09</w:t>
            </w:r>
          </w:p>
        </w:tc>
        <w:tc>
          <w:tcPr>
            <w:tcW w:w="709" w:type="dxa"/>
            <w:vAlign w:val="center"/>
            <w:hideMark/>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0.13</w:t>
            </w:r>
          </w:p>
        </w:tc>
        <w:tc>
          <w:tcPr>
            <w:tcW w:w="708" w:type="dxa"/>
            <w:vAlign w:val="center"/>
            <w:hideMark/>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0.11</w:t>
            </w:r>
          </w:p>
        </w:tc>
        <w:tc>
          <w:tcPr>
            <w:tcW w:w="709" w:type="dxa"/>
            <w:vAlign w:val="center"/>
            <w:hideMark/>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sidRPr="00CE6E74">
              <w:rPr>
                <w:rFonts w:ascii="Times New Roman" w:hAnsi="Times New Roman"/>
                <w:sz w:val="24"/>
                <w:szCs w:val="24"/>
                <w:lang w:val="fr-FR" w:eastAsia="fr-FR"/>
              </w:rPr>
              <w:t>0.04</w:t>
            </w:r>
          </w:p>
        </w:tc>
        <w:tc>
          <w:tcPr>
            <w:tcW w:w="709" w:type="dxa"/>
          </w:tcPr>
          <w:p w:rsidR="008C1D5D" w:rsidRPr="00CE6E74" w:rsidRDefault="008C1D5D" w:rsidP="00CE6E74">
            <w:pPr>
              <w:overflowPunct/>
              <w:autoSpaceDE/>
              <w:autoSpaceDN/>
              <w:adjustRightInd/>
              <w:jc w:val="center"/>
              <w:textAlignment w:val="auto"/>
              <w:rPr>
                <w:rFonts w:ascii="Times New Roman" w:hAnsi="Times New Roman"/>
                <w:sz w:val="24"/>
                <w:szCs w:val="24"/>
                <w:lang w:val="fr-FR" w:eastAsia="fr-FR"/>
              </w:rPr>
            </w:pPr>
            <w:r>
              <w:rPr>
                <w:rFonts w:ascii="Times New Roman" w:hAnsi="Times New Roman"/>
                <w:sz w:val="24"/>
                <w:szCs w:val="24"/>
                <w:lang w:val="fr-FR" w:eastAsia="fr-FR"/>
              </w:rPr>
              <w:t>0.03</w:t>
            </w:r>
          </w:p>
        </w:tc>
      </w:tr>
    </w:tbl>
    <w:p w:rsidR="00CE6E74" w:rsidRDefault="00CE6E74" w:rsidP="00911B76">
      <w:pPr>
        <w:numPr>
          <w:ilvl w:val="12"/>
          <w:numId w:val="0"/>
        </w:numPr>
        <w:jc w:val="both"/>
        <w:rPr>
          <w:rFonts w:ascii="Times New Roman" w:hAnsi="Times New Roman"/>
        </w:rPr>
      </w:pPr>
      <w:r>
        <w:rPr>
          <w:rFonts w:ascii="Times New Roman" w:hAnsi="Times New Roman"/>
          <w:vertAlign w:val="superscript"/>
        </w:rPr>
        <w:t>1</w:t>
      </w:r>
      <w:r>
        <w:rPr>
          <w:rFonts w:ascii="Times New Roman" w:hAnsi="Times New Roman"/>
        </w:rPr>
        <w:t xml:space="preserve">BW: birth weight; W21: weight at 21 days of age; WW: weaning weight; WPW: </w:t>
      </w:r>
      <w:r w:rsidR="00A06472">
        <w:rPr>
          <w:rFonts w:ascii="Times New Roman" w:hAnsi="Times New Roman"/>
        </w:rPr>
        <w:t>post-</w:t>
      </w:r>
      <w:r>
        <w:rPr>
          <w:rFonts w:ascii="Times New Roman" w:hAnsi="Times New Roman"/>
        </w:rPr>
        <w:t>weaning weight; ADG l,pw,f: average daily gain during lactation (l), post weaning</w:t>
      </w:r>
      <w:r w:rsidR="009C288A">
        <w:rPr>
          <w:rFonts w:ascii="Times New Roman" w:hAnsi="Times New Roman"/>
        </w:rPr>
        <w:t xml:space="preserve"> (pw)</w:t>
      </w:r>
      <w:r>
        <w:rPr>
          <w:rFonts w:ascii="Times New Roman" w:hAnsi="Times New Roman"/>
        </w:rPr>
        <w:t xml:space="preserve"> and fattening</w:t>
      </w:r>
      <w:r w:rsidR="009C288A">
        <w:rPr>
          <w:rFonts w:ascii="Times New Roman" w:hAnsi="Times New Roman"/>
        </w:rPr>
        <w:t xml:space="preserve"> (f)</w:t>
      </w:r>
      <w:r>
        <w:rPr>
          <w:rFonts w:ascii="Times New Roman" w:hAnsi="Times New Roman"/>
        </w:rPr>
        <w:t xml:space="preserve">, respectively; lean%: lean percentage. </w:t>
      </w:r>
    </w:p>
    <w:p w:rsidR="00775159" w:rsidRDefault="00775159" w:rsidP="00775159">
      <w:pPr>
        <w:numPr>
          <w:ilvl w:val="12"/>
          <w:numId w:val="0"/>
        </w:numPr>
        <w:jc w:val="both"/>
        <w:rPr>
          <w:rFonts w:ascii="Times New Roman" w:hAnsi="Times New Roman"/>
          <w:sz w:val="24"/>
        </w:rPr>
      </w:pPr>
    </w:p>
    <w:p w:rsidR="00775159" w:rsidRDefault="00775159" w:rsidP="00775159">
      <w:pPr>
        <w:numPr>
          <w:ilvl w:val="12"/>
          <w:numId w:val="0"/>
        </w:numPr>
        <w:rPr>
          <w:rFonts w:ascii="Times New Roman" w:hAnsi="Times New Roman"/>
          <w:sz w:val="24"/>
        </w:rPr>
      </w:pPr>
      <w:r>
        <w:rPr>
          <w:rFonts w:ascii="Times New Roman" w:hAnsi="Times New Roman"/>
          <w:b/>
          <w:sz w:val="24"/>
        </w:rPr>
        <w:t>Genome Wide Association Study</w:t>
      </w:r>
    </w:p>
    <w:p w:rsidR="00775159" w:rsidRDefault="00775159" w:rsidP="00775159">
      <w:pPr>
        <w:numPr>
          <w:ilvl w:val="12"/>
          <w:numId w:val="0"/>
        </w:numPr>
        <w:jc w:val="both"/>
        <w:rPr>
          <w:rFonts w:ascii="Times New Roman" w:hAnsi="Times New Roman"/>
          <w:sz w:val="24"/>
        </w:rPr>
      </w:pPr>
    </w:p>
    <w:p w:rsidR="004C7AF0" w:rsidRDefault="004C7AF0" w:rsidP="00775159">
      <w:pPr>
        <w:numPr>
          <w:ilvl w:val="12"/>
          <w:numId w:val="0"/>
        </w:numPr>
        <w:jc w:val="both"/>
        <w:rPr>
          <w:rFonts w:ascii="Times New Roman" w:hAnsi="Times New Roman"/>
          <w:sz w:val="24"/>
        </w:rPr>
      </w:pPr>
      <w:r>
        <w:rPr>
          <w:rFonts w:ascii="Times New Roman" w:hAnsi="Times New Roman"/>
          <w:sz w:val="24"/>
        </w:rPr>
        <w:t>A highly significant quantitative trait loc</w:t>
      </w:r>
      <w:r w:rsidR="00AE1CF2">
        <w:rPr>
          <w:rFonts w:ascii="Times New Roman" w:hAnsi="Times New Roman"/>
          <w:sz w:val="24"/>
        </w:rPr>
        <w:t>us</w:t>
      </w:r>
      <w:r>
        <w:rPr>
          <w:rFonts w:ascii="Times New Roman" w:hAnsi="Times New Roman"/>
          <w:sz w:val="24"/>
        </w:rPr>
        <w:t xml:space="preserve"> was located on chromosome 2 (Figure 2). The SNP most significantly associated with cortisol level was exactly the same as the one reported by Muran</w:t>
      </w:r>
      <w:r w:rsidR="009C288A">
        <w:rPr>
          <w:rFonts w:ascii="Times New Roman" w:hAnsi="Times New Roman"/>
          <w:sz w:val="24"/>
        </w:rPr>
        <w:t>i</w:t>
      </w:r>
      <w:r>
        <w:rPr>
          <w:rFonts w:ascii="Times New Roman" w:hAnsi="Times New Roman"/>
          <w:sz w:val="24"/>
        </w:rPr>
        <w:t xml:space="preserve"> </w:t>
      </w:r>
      <w:r w:rsidRPr="008C1D5D">
        <w:rPr>
          <w:rFonts w:ascii="Times New Roman" w:hAnsi="Times New Roman"/>
          <w:i/>
          <w:sz w:val="24"/>
        </w:rPr>
        <w:t xml:space="preserve">et al. </w:t>
      </w:r>
      <w:r>
        <w:rPr>
          <w:rFonts w:ascii="Times New Roman" w:hAnsi="Times New Roman"/>
          <w:sz w:val="24"/>
        </w:rPr>
        <w:t>(201</w:t>
      </w:r>
      <w:r w:rsidR="002D470C">
        <w:rPr>
          <w:rFonts w:ascii="Times New Roman" w:hAnsi="Times New Roman"/>
          <w:sz w:val="24"/>
        </w:rPr>
        <w:t>2</w:t>
      </w:r>
      <w:r>
        <w:rPr>
          <w:rFonts w:ascii="Times New Roman" w:hAnsi="Times New Roman"/>
          <w:sz w:val="24"/>
        </w:rPr>
        <w:t xml:space="preserve">). It means that the selection process resulted in the segregation of 2 alleles of the </w:t>
      </w:r>
      <w:r w:rsidRPr="004C7AF0">
        <w:rPr>
          <w:rFonts w:ascii="Times New Roman" w:hAnsi="Times New Roman"/>
          <w:i/>
          <w:sz w:val="24"/>
        </w:rPr>
        <w:t>NR3C1</w:t>
      </w:r>
      <w:r>
        <w:rPr>
          <w:rFonts w:ascii="Times New Roman" w:hAnsi="Times New Roman"/>
          <w:sz w:val="24"/>
        </w:rPr>
        <w:t xml:space="preserve"> gene</w:t>
      </w:r>
      <w:r w:rsidR="002D470C">
        <w:rPr>
          <w:rFonts w:ascii="Times New Roman" w:hAnsi="Times New Roman"/>
          <w:sz w:val="24"/>
        </w:rPr>
        <w:t xml:space="preserve">, with </w:t>
      </w:r>
      <w:r w:rsidR="009C288A">
        <w:rPr>
          <w:rFonts w:ascii="Times New Roman" w:hAnsi="Times New Roman"/>
          <w:sz w:val="24"/>
        </w:rPr>
        <w:t>g</w:t>
      </w:r>
      <w:r w:rsidR="002D470C">
        <w:rPr>
          <w:rFonts w:ascii="Times New Roman" w:hAnsi="Times New Roman"/>
          <w:sz w:val="24"/>
        </w:rPr>
        <w:t xml:space="preserve">lucocorticoid </w:t>
      </w:r>
      <w:r w:rsidR="009C288A">
        <w:rPr>
          <w:rFonts w:ascii="Times New Roman" w:hAnsi="Times New Roman"/>
          <w:sz w:val="24"/>
        </w:rPr>
        <w:t>r</w:t>
      </w:r>
      <w:r w:rsidR="002D470C">
        <w:rPr>
          <w:rFonts w:ascii="Times New Roman" w:hAnsi="Times New Roman"/>
          <w:sz w:val="24"/>
        </w:rPr>
        <w:t>eceptor hypersensitivity in the animals from the low cortisol line</w:t>
      </w:r>
      <w:r>
        <w:rPr>
          <w:rFonts w:ascii="Times New Roman" w:hAnsi="Times New Roman"/>
          <w:sz w:val="24"/>
        </w:rPr>
        <w:t>. No SNP was significantly associated with any other trait.</w:t>
      </w:r>
    </w:p>
    <w:p w:rsidR="004C7AF0" w:rsidRDefault="004C7AF0" w:rsidP="00775159">
      <w:pPr>
        <w:numPr>
          <w:ilvl w:val="12"/>
          <w:numId w:val="0"/>
        </w:numPr>
        <w:jc w:val="both"/>
        <w:rPr>
          <w:rFonts w:ascii="Times New Roman" w:hAnsi="Times New Roman"/>
          <w:sz w:val="24"/>
        </w:rPr>
      </w:pPr>
    </w:p>
    <w:p w:rsidR="004C7AF0" w:rsidRDefault="004C7AF0" w:rsidP="00AE1CF2">
      <w:pPr>
        <w:numPr>
          <w:ilvl w:val="12"/>
          <w:numId w:val="0"/>
        </w:numPr>
        <w:jc w:val="center"/>
        <w:rPr>
          <w:rFonts w:ascii="Times New Roman" w:hAnsi="Times New Roman"/>
          <w:sz w:val="24"/>
        </w:rPr>
      </w:pPr>
      <w:r w:rsidRPr="004C7AF0">
        <w:rPr>
          <w:rFonts w:ascii="Times New Roman" w:hAnsi="Times New Roman"/>
          <w:sz w:val="24"/>
        </w:rPr>
        <w:object w:dxaOrig="7561" w:dyaOrig="7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2.75pt;height:180.75pt" o:ole="">
            <v:imagedata r:id="rId10" o:title="" croptop="7039f"/>
          </v:shape>
          <o:OLEObject Type="Embed" ProgID="AcroExch.Document.11" ShapeID="_x0000_i1026" DrawAspect="Content" ObjectID="_1579329814" r:id="rId11"/>
        </w:object>
      </w:r>
    </w:p>
    <w:p w:rsidR="004C7AF0" w:rsidRDefault="004C7AF0" w:rsidP="004C7AF0">
      <w:pPr>
        <w:numPr>
          <w:ilvl w:val="12"/>
          <w:numId w:val="0"/>
        </w:numPr>
        <w:jc w:val="both"/>
        <w:rPr>
          <w:rFonts w:ascii="Times New Roman" w:hAnsi="Times New Roman"/>
          <w:sz w:val="24"/>
        </w:rPr>
      </w:pPr>
      <w:r w:rsidRPr="00306E11">
        <w:rPr>
          <w:rFonts w:ascii="Times New Roman" w:hAnsi="Times New Roman"/>
          <w:bCs/>
          <w:i/>
          <w:iCs/>
          <w:sz w:val="24"/>
        </w:rPr>
        <w:t xml:space="preserve">Figure </w:t>
      </w:r>
      <w:r>
        <w:rPr>
          <w:rFonts w:ascii="Times New Roman" w:hAnsi="Times New Roman"/>
          <w:bCs/>
          <w:i/>
          <w:iCs/>
          <w:sz w:val="24"/>
        </w:rPr>
        <w:t>2</w:t>
      </w:r>
      <w:r w:rsidRPr="00306E11">
        <w:rPr>
          <w:rFonts w:ascii="Times New Roman" w:hAnsi="Times New Roman"/>
          <w:bCs/>
          <w:i/>
          <w:iCs/>
          <w:sz w:val="24"/>
        </w:rPr>
        <w:t>.</w:t>
      </w:r>
      <w:r w:rsidRPr="00306E11">
        <w:rPr>
          <w:rFonts w:ascii="Times New Roman" w:hAnsi="Times New Roman"/>
          <w:i/>
          <w:iCs/>
          <w:sz w:val="24"/>
        </w:rPr>
        <w:t xml:space="preserve"> </w:t>
      </w:r>
      <w:r>
        <w:rPr>
          <w:rFonts w:ascii="Times New Roman" w:hAnsi="Times New Roman"/>
          <w:i/>
          <w:iCs/>
          <w:sz w:val="24"/>
        </w:rPr>
        <w:t xml:space="preserve">Manhattan plot for </w:t>
      </w:r>
      <w:r w:rsidR="00AE1CF2">
        <w:rPr>
          <w:rFonts w:ascii="Times New Roman" w:hAnsi="Times New Roman"/>
          <w:i/>
          <w:iCs/>
          <w:sz w:val="24"/>
        </w:rPr>
        <w:t xml:space="preserve">post-ACTH </w:t>
      </w:r>
      <w:r>
        <w:rPr>
          <w:rFonts w:ascii="Times New Roman" w:hAnsi="Times New Roman"/>
          <w:i/>
          <w:iCs/>
          <w:sz w:val="24"/>
        </w:rPr>
        <w:t>cortisol level</w:t>
      </w:r>
      <w:r w:rsidR="00E137E1">
        <w:rPr>
          <w:rFonts w:ascii="Times New Roman" w:hAnsi="Times New Roman"/>
          <w:i/>
          <w:iCs/>
          <w:sz w:val="24"/>
        </w:rPr>
        <w:t>.</w:t>
      </w:r>
      <w:r>
        <w:rPr>
          <w:rFonts w:ascii="Times New Roman" w:hAnsi="Times New Roman"/>
          <w:i/>
          <w:iCs/>
          <w:sz w:val="24"/>
        </w:rPr>
        <w:t xml:space="preserve"> </w:t>
      </w:r>
    </w:p>
    <w:p w:rsidR="004C7AF0" w:rsidRDefault="004C7AF0" w:rsidP="00775159">
      <w:pPr>
        <w:numPr>
          <w:ilvl w:val="12"/>
          <w:numId w:val="0"/>
        </w:numPr>
        <w:jc w:val="both"/>
        <w:rPr>
          <w:rFonts w:ascii="Times New Roman" w:hAnsi="Times New Roman"/>
          <w:sz w:val="24"/>
        </w:rPr>
      </w:pPr>
    </w:p>
    <w:p w:rsidR="00F66D33" w:rsidRDefault="00F66D33" w:rsidP="00F66D33">
      <w:pPr>
        <w:numPr>
          <w:ilvl w:val="12"/>
          <w:numId w:val="0"/>
        </w:numPr>
        <w:rPr>
          <w:rFonts w:ascii="Times New Roman" w:hAnsi="Times New Roman"/>
          <w:sz w:val="24"/>
        </w:rPr>
      </w:pPr>
      <w:r>
        <w:rPr>
          <w:rFonts w:ascii="Times New Roman" w:hAnsi="Times New Roman"/>
          <w:b/>
          <w:sz w:val="28"/>
        </w:rPr>
        <w:t xml:space="preserve">Conclusion </w:t>
      </w:r>
    </w:p>
    <w:p w:rsidR="004C7AF0" w:rsidRDefault="004C7AF0" w:rsidP="00775159">
      <w:pPr>
        <w:numPr>
          <w:ilvl w:val="12"/>
          <w:numId w:val="0"/>
        </w:numPr>
        <w:jc w:val="both"/>
        <w:rPr>
          <w:rFonts w:ascii="Times New Roman" w:hAnsi="Times New Roman"/>
          <w:sz w:val="24"/>
        </w:rPr>
      </w:pPr>
    </w:p>
    <w:p w:rsidR="00F66D33" w:rsidRDefault="00F66D33" w:rsidP="00775159">
      <w:pPr>
        <w:numPr>
          <w:ilvl w:val="12"/>
          <w:numId w:val="0"/>
        </w:numPr>
        <w:jc w:val="both"/>
        <w:rPr>
          <w:rFonts w:ascii="Times New Roman" w:hAnsi="Times New Roman"/>
          <w:sz w:val="24"/>
        </w:rPr>
      </w:pPr>
      <w:r>
        <w:rPr>
          <w:rFonts w:ascii="Times New Roman" w:hAnsi="Times New Roman"/>
          <w:sz w:val="24"/>
        </w:rPr>
        <w:t xml:space="preserve">The selection experiment confirmed that it was possible to select for </w:t>
      </w:r>
      <w:r w:rsidR="009C288A">
        <w:rPr>
          <w:rFonts w:ascii="Times New Roman" w:hAnsi="Times New Roman"/>
          <w:sz w:val="24"/>
        </w:rPr>
        <w:t xml:space="preserve">divergent </w:t>
      </w:r>
      <w:r>
        <w:rPr>
          <w:rFonts w:ascii="Times New Roman" w:hAnsi="Times New Roman"/>
          <w:sz w:val="24"/>
        </w:rPr>
        <w:t>HPA</w:t>
      </w:r>
      <w:r w:rsidR="009C288A">
        <w:rPr>
          <w:rFonts w:ascii="Times New Roman" w:hAnsi="Times New Roman"/>
          <w:sz w:val="24"/>
        </w:rPr>
        <w:t xml:space="preserve"> axis</w:t>
      </w:r>
      <w:r>
        <w:rPr>
          <w:rFonts w:ascii="Times New Roman" w:hAnsi="Times New Roman"/>
          <w:sz w:val="24"/>
        </w:rPr>
        <w:t xml:space="preserve"> activity. The two lines constituted a valuable resource to further study the influence of HPA </w:t>
      </w:r>
      <w:r w:rsidR="009C288A">
        <w:rPr>
          <w:rFonts w:ascii="Times New Roman" w:hAnsi="Times New Roman"/>
          <w:sz w:val="24"/>
        </w:rPr>
        <w:t xml:space="preserve">axis </w:t>
      </w:r>
      <w:r>
        <w:rPr>
          <w:rFonts w:ascii="Times New Roman" w:hAnsi="Times New Roman"/>
          <w:sz w:val="24"/>
        </w:rPr>
        <w:t xml:space="preserve">activity on traits related to robustness. The </w:t>
      </w:r>
      <w:r w:rsidR="00AE1CF2">
        <w:rPr>
          <w:rFonts w:ascii="Times New Roman" w:hAnsi="Times New Roman"/>
          <w:sz w:val="24"/>
        </w:rPr>
        <w:t>consequences</w:t>
      </w:r>
      <w:r>
        <w:rPr>
          <w:rFonts w:ascii="Times New Roman" w:hAnsi="Times New Roman"/>
          <w:sz w:val="24"/>
        </w:rPr>
        <w:t xml:space="preserve"> of selecting for GR sensitivity will also be fully evaluated.</w:t>
      </w:r>
    </w:p>
    <w:p w:rsidR="00AE1CF2" w:rsidRDefault="00AE1CF2" w:rsidP="00775159">
      <w:pPr>
        <w:numPr>
          <w:ilvl w:val="12"/>
          <w:numId w:val="0"/>
        </w:numPr>
        <w:jc w:val="both"/>
        <w:rPr>
          <w:rFonts w:ascii="Times New Roman" w:hAnsi="Times New Roman"/>
          <w:sz w:val="24"/>
        </w:rPr>
      </w:pPr>
    </w:p>
    <w:p w:rsidR="00AE1CF2" w:rsidRDefault="00AE1CF2" w:rsidP="00AE1CF2">
      <w:pPr>
        <w:numPr>
          <w:ilvl w:val="12"/>
          <w:numId w:val="0"/>
        </w:numPr>
        <w:rPr>
          <w:rFonts w:ascii="Times New Roman" w:hAnsi="Times New Roman"/>
          <w:sz w:val="24"/>
        </w:rPr>
      </w:pPr>
      <w:r>
        <w:rPr>
          <w:rFonts w:ascii="Times New Roman" w:hAnsi="Times New Roman"/>
          <w:b/>
          <w:sz w:val="28"/>
        </w:rPr>
        <w:t>Acknowledgements</w:t>
      </w:r>
    </w:p>
    <w:p w:rsidR="00AE1CF2" w:rsidRDefault="00AE1CF2" w:rsidP="00AE1CF2">
      <w:pPr>
        <w:numPr>
          <w:ilvl w:val="12"/>
          <w:numId w:val="0"/>
        </w:numPr>
        <w:rPr>
          <w:rFonts w:ascii="Times New Roman" w:hAnsi="Times New Roman"/>
          <w:sz w:val="24"/>
        </w:rPr>
      </w:pPr>
    </w:p>
    <w:p w:rsidR="00AE1CF2" w:rsidRDefault="00C32CC7" w:rsidP="00AE1CF2">
      <w:pPr>
        <w:jc w:val="both"/>
        <w:rPr>
          <w:rFonts w:ascii="Times New Roman" w:hAnsi="Times New Roman"/>
          <w:sz w:val="24"/>
        </w:rPr>
      </w:pPr>
      <w:r>
        <w:rPr>
          <w:rFonts w:ascii="Times New Roman" w:hAnsi="Times New Roman"/>
          <w:sz w:val="24"/>
        </w:rPr>
        <w:t>With t</w:t>
      </w:r>
      <w:r w:rsidRPr="00AE1CF2">
        <w:rPr>
          <w:rFonts w:ascii="Times New Roman" w:hAnsi="Times New Roman"/>
          <w:sz w:val="24"/>
        </w:rPr>
        <w:t xml:space="preserve">he </w:t>
      </w:r>
      <w:r>
        <w:rPr>
          <w:rFonts w:ascii="Times New Roman" w:hAnsi="Times New Roman"/>
          <w:sz w:val="24"/>
        </w:rPr>
        <w:t xml:space="preserve">collaboration </w:t>
      </w:r>
      <w:r>
        <w:rPr>
          <w:rFonts w:ascii="Times New Roman" w:hAnsi="Times New Roman"/>
          <w:sz w:val="24"/>
          <w:szCs w:val="24"/>
          <w:lang w:val="en-US"/>
        </w:rPr>
        <w:t xml:space="preserve">of the technical teams of the INRA experimental unit GenESI. </w:t>
      </w:r>
      <w:r w:rsidR="00AE1CF2" w:rsidRPr="00AE1CF2">
        <w:rPr>
          <w:rFonts w:ascii="Times New Roman" w:hAnsi="Times New Roman"/>
          <w:sz w:val="24"/>
        </w:rPr>
        <w:t>This project received financial support from the French National Agency of</w:t>
      </w:r>
      <w:r w:rsidR="00AE1CF2">
        <w:rPr>
          <w:rFonts w:ascii="Times New Roman" w:hAnsi="Times New Roman"/>
          <w:sz w:val="24"/>
        </w:rPr>
        <w:t xml:space="preserve"> </w:t>
      </w:r>
      <w:r w:rsidR="00AE1CF2" w:rsidRPr="00AE1CF2">
        <w:rPr>
          <w:rFonts w:ascii="Times New Roman" w:hAnsi="Times New Roman"/>
          <w:sz w:val="24"/>
        </w:rPr>
        <w:t>Research (SUSoSTRESS, ANR-12-ADAP-0008)</w:t>
      </w:r>
      <w:r w:rsidR="00AE1CF2">
        <w:rPr>
          <w:rFonts w:ascii="Times New Roman" w:hAnsi="Times New Roman"/>
          <w:sz w:val="24"/>
        </w:rPr>
        <w:t>.</w:t>
      </w:r>
      <w:r w:rsidR="00AE1CF2" w:rsidRPr="00AE1CF2">
        <w:t xml:space="preserve"> </w:t>
      </w:r>
      <w:r w:rsidR="00AE1CF2" w:rsidRPr="00AE1CF2">
        <w:rPr>
          <w:rFonts w:ascii="Times New Roman" w:hAnsi="Times New Roman"/>
          <w:sz w:val="24"/>
        </w:rPr>
        <w:t xml:space="preserve">We </w:t>
      </w:r>
      <w:r>
        <w:rPr>
          <w:rFonts w:ascii="Times New Roman" w:hAnsi="Times New Roman"/>
          <w:sz w:val="24"/>
        </w:rPr>
        <w:t xml:space="preserve">also </w:t>
      </w:r>
      <w:r w:rsidR="00AE1CF2" w:rsidRPr="00AE1CF2">
        <w:rPr>
          <w:rFonts w:ascii="Times New Roman" w:hAnsi="Times New Roman"/>
          <w:sz w:val="24"/>
        </w:rPr>
        <w:t>thank Nathalie Iannuccelli</w:t>
      </w:r>
      <w:r w:rsidR="00AE1CF2">
        <w:rPr>
          <w:rFonts w:ascii="Times New Roman" w:hAnsi="Times New Roman"/>
          <w:sz w:val="24"/>
        </w:rPr>
        <w:t xml:space="preserve"> (INRA GenPhySE) for her contribution to animal genotyping</w:t>
      </w:r>
      <w:r w:rsidR="00AE1CF2" w:rsidRPr="00AE1CF2">
        <w:rPr>
          <w:rFonts w:ascii="Times New Roman" w:hAnsi="Times New Roman"/>
          <w:sz w:val="24"/>
        </w:rPr>
        <w:t xml:space="preserve">, </w:t>
      </w:r>
      <w:r w:rsidR="00AE1CF2">
        <w:rPr>
          <w:rFonts w:ascii="Times New Roman" w:hAnsi="Times New Roman"/>
          <w:sz w:val="24"/>
        </w:rPr>
        <w:t xml:space="preserve">and </w:t>
      </w:r>
      <w:r w:rsidR="00AE1CF2" w:rsidRPr="00AE1CF2">
        <w:rPr>
          <w:rFonts w:ascii="Times New Roman" w:hAnsi="Times New Roman"/>
          <w:sz w:val="24"/>
        </w:rPr>
        <w:t xml:space="preserve">INRA PEGASE (more specifically </w:t>
      </w:r>
      <w:r w:rsidR="00040D39">
        <w:rPr>
          <w:rFonts w:ascii="Times New Roman" w:hAnsi="Times New Roman"/>
          <w:sz w:val="24"/>
        </w:rPr>
        <w:t>Raphaël</w:t>
      </w:r>
      <w:r w:rsidR="00040D39" w:rsidRPr="00AE1CF2">
        <w:rPr>
          <w:rFonts w:ascii="Times New Roman" w:hAnsi="Times New Roman"/>
          <w:sz w:val="24"/>
        </w:rPr>
        <w:t xml:space="preserve"> </w:t>
      </w:r>
      <w:r w:rsidR="00AE1CF2" w:rsidRPr="00AE1CF2">
        <w:rPr>
          <w:rFonts w:ascii="Times New Roman" w:hAnsi="Times New Roman"/>
          <w:sz w:val="24"/>
        </w:rPr>
        <w:t>Comte) for cortisol assay</w:t>
      </w:r>
      <w:r w:rsidR="00AE1CF2">
        <w:rPr>
          <w:rFonts w:ascii="Times New Roman" w:hAnsi="Times New Roman"/>
          <w:sz w:val="24"/>
        </w:rPr>
        <w:t>.</w:t>
      </w:r>
    </w:p>
    <w:p w:rsidR="00AE1CF2" w:rsidRDefault="00AE1CF2" w:rsidP="00775159">
      <w:pPr>
        <w:numPr>
          <w:ilvl w:val="12"/>
          <w:numId w:val="0"/>
        </w:numPr>
        <w:jc w:val="both"/>
        <w:rPr>
          <w:rFonts w:ascii="Times New Roman" w:hAnsi="Times New Roman"/>
          <w:sz w:val="24"/>
        </w:rPr>
      </w:pPr>
    </w:p>
    <w:p w:rsidR="00CD4105" w:rsidRDefault="00306E11">
      <w:pPr>
        <w:rPr>
          <w:rFonts w:ascii="Times New Roman" w:hAnsi="Times New Roman"/>
          <w:i/>
          <w:sz w:val="24"/>
        </w:rPr>
      </w:pPr>
      <w:r>
        <w:rPr>
          <w:rFonts w:ascii="Times New Roman" w:hAnsi="Times New Roman"/>
          <w:b/>
          <w:sz w:val="28"/>
        </w:rPr>
        <w:t xml:space="preserve">List of </w:t>
      </w:r>
      <w:r w:rsidR="00CD4105">
        <w:rPr>
          <w:rFonts w:ascii="Times New Roman" w:hAnsi="Times New Roman"/>
          <w:b/>
          <w:sz w:val="28"/>
        </w:rPr>
        <w:t xml:space="preserve">References </w:t>
      </w:r>
    </w:p>
    <w:p w:rsidR="003C4FAC" w:rsidRDefault="003C4FAC" w:rsidP="002D470C">
      <w:pPr>
        <w:tabs>
          <w:tab w:val="left" w:pos="284"/>
        </w:tabs>
        <w:ind w:left="284" w:hanging="284"/>
        <w:jc w:val="both"/>
        <w:rPr>
          <w:rFonts w:ascii="Times New Roman" w:hAnsi="Times New Roman"/>
          <w:color w:val="C0C0C0"/>
          <w:sz w:val="24"/>
        </w:rPr>
      </w:pPr>
    </w:p>
    <w:p w:rsidR="002D470C" w:rsidRPr="002D470C" w:rsidRDefault="002D470C" w:rsidP="002D470C">
      <w:pPr>
        <w:tabs>
          <w:tab w:val="left" w:pos="284"/>
        </w:tabs>
        <w:ind w:left="284" w:hanging="284"/>
        <w:jc w:val="both"/>
        <w:rPr>
          <w:rFonts w:ascii="Times New Roman" w:hAnsi="Times New Roman"/>
          <w:sz w:val="24"/>
          <w:szCs w:val="24"/>
          <w:lang w:val="en-US" w:eastAsia="fr-FR"/>
        </w:rPr>
      </w:pPr>
      <w:r w:rsidRPr="002D470C">
        <w:rPr>
          <w:rFonts w:ascii="Times New Roman" w:hAnsi="Times New Roman"/>
          <w:sz w:val="24"/>
          <w:lang w:val="en-US"/>
        </w:rPr>
        <w:t>Aulchenko, Y.S., D.J. de Koning &amp; C. Haley, 2007</w:t>
      </w:r>
      <w:r>
        <w:rPr>
          <w:rFonts w:ascii="Times New Roman" w:hAnsi="Times New Roman"/>
          <w:sz w:val="24"/>
          <w:lang w:val="en-US"/>
        </w:rPr>
        <w:t xml:space="preserve">. </w:t>
      </w:r>
      <w:r w:rsidRPr="002D470C">
        <w:rPr>
          <w:rFonts w:ascii="Times New Roman" w:hAnsi="Times New Roman"/>
          <w:sz w:val="24"/>
          <w:lang w:val="en-US"/>
        </w:rPr>
        <w:t>Genome</w:t>
      </w:r>
      <w:r w:rsidR="00256605">
        <w:rPr>
          <w:rFonts w:ascii="Times New Roman" w:hAnsi="Times New Roman"/>
          <w:sz w:val="24"/>
          <w:lang w:val="en-US"/>
        </w:rPr>
        <w:t xml:space="preserve"> </w:t>
      </w:r>
      <w:r w:rsidRPr="002D470C">
        <w:rPr>
          <w:rFonts w:ascii="Times New Roman" w:hAnsi="Times New Roman"/>
          <w:sz w:val="24"/>
          <w:lang w:val="en-US"/>
        </w:rPr>
        <w:t>wide rapid association using mixed model and regression: a fast and simple method for genome</w:t>
      </w:r>
      <w:r>
        <w:rPr>
          <w:rFonts w:ascii="Times New Roman" w:hAnsi="Times New Roman"/>
          <w:sz w:val="24"/>
          <w:lang w:val="en-US"/>
        </w:rPr>
        <w:t xml:space="preserve"> </w:t>
      </w:r>
      <w:r w:rsidRPr="002D470C">
        <w:rPr>
          <w:rFonts w:ascii="Times New Roman" w:hAnsi="Times New Roman"/>
          <w:sz w:val="24"/>
          <w:lang w:val="en-US"/>
        </w:rPr>
        <w:t>wide pedigree-based quantitative trait loci association analysis. Genetics</w:t>
      </w:r>
      <w:r>
        <w:rPr>
          <w:rFonts w:ascii="Times New Roman" w:hAnsi="Times New Roman"/>
          <w:sz w:val="24"/>
          <w:lang w:val="en-US"/>
        </w:rPr>
        <w:t xml:space="preserve"> 177: </w:t>
      </w:r>
      <w:r w:rsidRPr="002D470C">
        <w:rPr>
          <w:rFonts w:ascii="Times New Roman" w:hAnsi="Times New Roman"/>
          <w:sz w:val="24"/>
          <w:lang w:val="en-US"/>
        </w:rPr>
        <w:t>577-585.</w:t>
      </w:r>
    </w:p>
    <w:p w:rsidR="002D470C" w:rsidRPr="002D470C" w:rsidRDefault="002D470C" w:rsidP="002D470C">
      <w:pPr>
        <w:tabs>
          <w:tab w:val="left" w:pos="284"/>
        </w:tabs>
        <w:ind w:left="284" w:hanging="284"/>
        <w:jc w:val="both"/>
        <w:rPr>
          <w:rFonts w:ascii="Times New Roman" w:hAnsi="Times New Roman"/>
          <w:sz w:val="24"/>
          <w:szCs w:val="24"/>
          <w:lang w:val="fr-FR" w:eastAsia="fr-FR"/>
        </w:rPr>
      </w:pPr>
      <w:r w:rsidRPr="002D470C">
        <w:rPr>
          <w:rFonts w:ascii="Times New Roman" w:hAnsi="Times New Roman"/>
          <w:sz w:val="24"/>
          <w:lang w:val="en-US"/>
        </w:rPr>
        <w:t xml:space="preserve">Blum, Y., M. Monziols, D. Causeur &amp; G. Daumas, 2014. </w:t>
      </w:r>
      <w:r w:rsidRPr="002D470C">
        <w:rPr>
          <w:rFonts w:ascii="Times New Roman" w:hAnsi="Times New Roman"/>
          <w:sz w:val="24"/>
          <w:lang w:val="fr-FR"/>
        </w:rPr>
        <w:t xml:space="preserve">Recalibrage de la principale méthode de classement des carcasses de porcs en France. </w:t>
      </w:r>
      <w:r>
        <w:rPr>
          <w:rFonts w:ascii="Times New Roman" w:hAnsi="Times New Roman"/>
          <w:sz w:val="24"/>
          <w:lang w:val="fr-FR"/>
        </w:rPr>
        <w:t>Journées Rech. Porcine 46:39-44.</w:t>
      </w:r>
    </w:p>
    <w:p w:rsidR="002D470C" w:rsidRPr="002D470C" w:rsidRDefault="002D470C" w:rsidP="002D470C">
      <w:pPr>
        <w:tabs>
          <w:tab w:val="left" w:pos="284"/>
        </w:tabs>
        <w:ind w:left="284" w:hanging="284"/>
        <w:jc w:val="both"/>
        <w:rPr>
          <w:rFonts w:ascii="Times New Roman" w:hAnsi="Times New Roman"/>
          <w:sz w:val="24"/>
          <w:szCs w:val="24"/>
          <w:lang w:val="en-US" w:eastAsia="fr-FR"/>
        </w:rPr>
      </w:pPr>
      <w:r w:rsidRPr="002D470C">
        <w:rPr>
          <w:rFonts w:ascii="Times New Roman" w:hAnsi="Times New Roman"/>
          <w:sz w:val="24"/>
          <w:szCs w:val="24"/>
          <w:lang w:val="en-US" w:eastAsia="fr-FR"/>
        </w:rPr>
        <w:t>Larzul, C., E. Terenina, A. Foury, Y. Billon, I. Louveau, E. Merlot &amp; P. Morm</w:t>
      </w:r>
      <w:r w:rsidR="00256605">
        <w:rPr>
          <w:rFonts w:ascii="Times New Roman" w:hAnsi="Times New Roman"/>
          <w:sz w:val="24"/>
          <w:szCs w:val="24"/>
          <w:lang w:val="en-US" w:eastAsia="fr-FR"/>
        </w:rPr>
        <w:t>e</w:t>
      </w:r>
      <w:r w:rsidRPr="002D470C">
        <w:rPr>
          <w:rFonts w:ascii="Times New Roman" w:hAnsi="Times New Roman"/>
          <w:sz w:val="24"/>
          <w:szCs w:val="24"/>
          <w:lang w:val="en-US" w:eastAsia="fr-FR"/>
        </w:rPr>
        <w:t>de, 2015. The cortisol response to ACTH in pigs, heritability and influence of corti</w:t>
      </w:r>
      <w:r>
        <w:rPr>
          <w:rFonts w:ascii="Times New Roman" w:hAnsi="Times New Roman"/>
          <w:sz w:val="24"/>
          <w:szCs w:val="24"/>
          <w:lang w:val="en-US" w:eastAsia="fr-FR"/>
        </w:rPr>
        <w:t>costeroid-binding globulin. Animal 9(12): 1929-1934.</w:t>
      </w:r>
      <w:r w:rsidRPr="002D470C">
        <w:rPr>
          <w:rFonts w:ascii="Times New Roman" w:hAnsi="Times New Roman"/>
          <w:sz w:val="24"/>
          <w:szCs w:val="24"/>
          <w:lang w:val="en-US" w:eastAsia="fr-FR"/>
        </w:rPr>
        <w:t xml:space="preserve"> </w:t>
      </w:r>
    </w:p>
    <w:p w:rsidR="00596F48" w:rsidRDefault="00596F48" w:rsidP="002D470C">
      <w:pPr>
        <w:tabs>
          <w:tab w:val="left" w:pos="284"/>
        </w:tabs>
        <w:ind w:left="284" w:hanging="284"/>
        <w:jc w:val="both"/>
        <w:rPr>
          <w:rFonts w:ascii="Times New Roman" w:hAnsi="Times New Roman"/>
          <w:sz w:val="24"/>
          <w:szCs w:val="24"/>
          <w:lang w:val="en-US" w:eastAsia="fr-FR"/>
        </w:rPr>
      </w:pPr>
      <w:r>
        <w:rPr>
          <w:rFonts w:ascii="Times New Roman" w:hAnsi="Times New Roman"/>
          <w:sz w:val="24"/>
          <w:szCs w:val="24"/>
          <w:lang w:val="en-US" w:eastAsia="fr-FR"/>
        </w:rPr>
        <w:t>Morm</w:t>
      </w:r>
      <w:r w:rsidR="00256605">
        <w:rPr>
          <w:rFonts w:ascii="Times New Roman" w:hAnsi="Times New Roman"/>
          <w:sz w:val="24"/>
          <w:szCs w:val="24"/>
          <w:lang w:val="en-US" w:eastAsia="fr-FR"/>
        </w:rPr>
        <w:t>e</w:t>
      </w:r>
      <w:r>
        <w:rPr>
          <w:rFonts w:ascii="Times New Roman" w:hAnsi="Times New Roman"/>
          <w:sz w:val="24"/>
          <w:szCs w:val="24"/>
          <w:lang w:val="en-US" w:eastAsia="fr-FR"/>
        </w:rPr>
        <w:t>de, P &amp; E. Terenina, 2012. Molecular genetics of the adrenocortical axis and breeding for robustness. Domest. Anim. Endocrinol. 43:116-131.</w:t>
      </w:r>
    </w:p>
    <w:p w:rsidR="00FA5C92" w:rsidRDefault="00FA5C92" w:rsidP="002D470C">
      <w:pPr>
        <w:tabs>
          <w:tab w:val="left" w:pos="284"/>
        </w:tabs>
        <w:ind w:left="284" w:hanging="284"/>
        <w:jc w:val="both"/>
        <w:rPr>
          <w:rFonts w:ascii="Times New Roman" w:hAnsi="Times New Roman"/>
          <w:sz w:val="24"/>
          <w:szCs w:val="24"/>
          <w:lang w:val="en-US" w:eastAsia="fr-FR"/>
        </w:rPr>
      </w:pPr>
      <w:r>
        <w:rPr>
          <w:rFonts w:ascii="Times New Roman" w:hAnsi="Times New Roman"/>
          <w:sz w:val="24"/>
          <w:szCs w:val="24"/>
          <w:lang w:val="en-US" w:eastAsia="fr-FR"/>
        </w:rPr>
        <w:t xml:space="preserve">Mormede P., Terenina E., </w:t>
      </w:r>
      <w:r w:rsidRPr="00FA5C92">
        <w:rPr>
          <w:rFonts w:ascii="Times New Roman" w:hAnsi="Times New Roman"/>
          <w:sz w:val="24"/>
          <w:szCs w:val="24"/>
          <w:lang w:val="en-US" w:eastAsia="fr-FR"/>
        </w:rPr>
        <w:t>Y. Billon, S. Ferchaud, L. Gress, H. Remignon, H. Manse &amp; C. Larzul</w:t>
      </w:r>
      <w:r>
        <w:rPr>
          <w:rFonts w:ascii="Times New Roman" w:hAnsi="Times New Roman"/>
          <w:sz w:val="24"/>
          <w:szCs w:val="24"/>
          <w:lang w:val="en-US" w:eastAsia="fr-FR"/>
        </w:rPr>
        <w:t xml:space="preserve">, 2018. </w:t>
      </w:r>
      <w:r w:rsidRPr="00FA5C92">
        <w:rPr>
          <w:rFonts w:ascii="Times New Roman" w:hAnsi="Times New Roman"/>
          <w:sz w:val="24"/>
          <w:szCs w:val="24"/>
          <w:lang w:val="en-US" w:eastAsia="fr-FR"/>
        </w:rPr>
        <w:t>Divergent selection on adrenocortical activity in Large White pigs: study of responses to breeding challenges</w:t>
      </w:r>
      <w:r>
        <w:rPr>
          <w:rFonts w:ascii="Times New Roman" w:hAnsi="Times New Roman"/>
          <w:sz w:val="24"/>
          <w:szCs w:val="24"/>
          <w:lang w:val="en-US" w:eastAsia="fr-FR"/>
        </w:rPr>
        <w:t xml:space="preserve">. </w:t>
      </w:r>
      <w:r w:rsidRPr="007C72CD">
        <w:rPr>
          <w:rFonts w:ascii="Times New Roman" w:hAnsi="Times New Roman"/>
          <w:sz w:val="24"/>
          <w:szCs w:val="24"/>
          <w:lang w:val="en-US"/>
        </w:rPr>
        <w:t xml:space="preserve">11th WCGALP, Auckland, </w:t>
      </w:r>
      <w:r w:rsidR="009123E2">
        <w:rPr>
          <w:rFonts w:ascii="Times New Roman" w:hAnsi="Times New Roman"/>
          <w:sz w:val="24"/>
          <w:szCs w:val="24"/>
          <w:lang w:val="en-US"/>
        </w:rPr>
        <w:t>NZ</w:t>
      </w:r>
      <w:r>
        <w:rPr>
          <w:rFonts w:ascii="Times New Roman" w:hAnsi="Times New Roman"/>
          <w:sz w:val="24"/>
          <w:szCs w:val="24"/>
          <w:lang w:val="en-US"/>
        </w:rPr>
        <w:t>, February 11-16, 2018.</w:t>
      </w:r>
      <w:r>
        <w:rPr>
          <w:rFonts w:ascii="Times New Roman" w:hAnsi="Times New Roman"/>
          <w:sz w:val="24"/>
          <w:szCs w:val="24"/>
          <w:lang w:val="en-US" w:eastAsia="fr-FR"/>
        </w:rPr>
        <w:t xml:space="preserve"> </w:t>
      </w:r>
    </w:p>
    <w:p w:rsidR="002D470C" w:rsidRDefault="002D470C" w:rsidP="002D470C">
      <w:pPr>
        <w:tabs>
          <w:tab w:val="left" w:pos="284"/>
        </w:tabs>
        <w:ind w:left="284" w:hanging="284"/>
        <w:jc w:val="both"/>
        <w:rPr>
          <w:rFonts w:ascii="Times New Roman" w:hAnsi="Times New Roman"/>
          <w:sz w:val="24"/>
        </w:rPr>
      </w:pPr>
      <w:r w:rsidRPr="002D470C">
        <w:rPr>
          <w:rFonts w:ascii="Times New Roman" w:hAnsi="Times New Roman"/>
          <w:sz w:val="24"/>
          <w:szCs w:val="24"/>
          <w:lang w:val="en-US" w:eastAsia="fr-FR"/>
        </w:rPr>
        <w:lastRenderedPageBreak/>
        <w:t>Murani, E</w:t>
      </w:r>
      <w:r>
        <w:rPr>
          <w:rFonts w:ascii="Times New Roman" w:hAnsi="Times New Roman"/>
          <w:sz w:val="24"/>
          <w:szCs w:val="24"/>
          <w:lang w:val="en-US" w:eastAsia="fr-FR"/>
        </w:rPr>
        <w:t>.,</w:t>
      </w:r>
      <w:r w:rsidRPr="002D470C">
        <w:rPr>
          <w:rFonts w:ascii="Times New Roman" w:hAnsi="Times New Roman"/>
          <w:sz w:val="24"/>
          <w:szCs w:val="24"/>
          <w:lang w:val="en-US" w:eastAsia="fr-FR"/>
        </w:rPr>
        <w:t xml:space="preserve"> </w:t>
      </w:r>
      <w:r>
        <w:rPr>
          <w:rFonts w:ascii="Times New Roman" w:hAnsi="Times New Roman"/>
          <w:sz w:val="24"/>
          <w:szCs w:val="24"/>
          <w:lang w:val="en-US" w:eastAsia="fr-FR"/>
        </w:rPr>
        <w:t xml:space="preserve">H. Reyer, </w:t>
      </w:r>
      <w:r w:rsidRPr="002D470C">
        <w:rPr>
          <w:rFonts w:ascii="Times New Roman" w:hAnsi="Times New Roman"/>
          <w:sz w:val="24"/>
          <w:szCs w:val="24"/>
          <w:lang w:val="en-US" w:eastAsia="fr-FR"/>
        </w:rPr>
        <w:t>S</w:t>
      </w:r>
      <w:r>
        <w:rPr>
          <w:rFonts w:ascii="Times New Roman" w:hAnsi="Times New Roman"/>
          <w:sz w:val="24"/>
          <w:szCs w:val="24"/>
          <w:lang w:val="en-US" w:eastAsia="fr-FR"/>
        </w:rPr>
        <w:t>.</w:t>
      </w:r>
      <w:r w:rsidRPr="002D470C">
        <w:rPr>
          <w:rFonts w:ascii="Times New Roman" w:hAnsi="Times New Roman"/>
          <w:sz w:val="24"/>
          <w:szCs w:val="24"/>
          <w:lang w:val="en-US" w:eastAsia="fr-FR"/>
        </w:rPr>
        <w:t xml:space="preserve"> Ponsuksili, </w:t>
      </w:r>
      <w:r>
        <w:rPr>
          <w:rFonts w:ascii="Times New Roman" w:hAnsi="Times New Roman"/>
          <w:sz w:val="24"/>
          <w:szCs w:val="24"/>
          <w:lang w:val="en-US" w:eastAsia="fr-FR"/>
        </w:rPr>
        <w:t>S.</w:t>
      </w:r>
      <w:r w:rsidRPr="002D470C">
        <w:rPr>
          <w:rFonts w:ascii="Times New Roman" w:hAnsi="Times New Roman"/>
          <w:sz w:val="24"/>
          <w:szCs w:val="24"/>
          <w:lang w:val="en-US" w:eastAsia="fr-FR"/>
        </w:rPr>
        <w:t xml:space="preserve"> </w:t>
      </w:r>
      <w:r>
        <w:rPr>
          <w:rFonts w:ascii="Times New Roman" w:hAnsi="Times New Roman"/>
          <w:sz w:val="24"/>
          <w:szCs w:val="24"/>
          <w:lang w:val="en-US" w:eastAsia="fr-FR"/>
        </w:rPr>
        <w:t xml:space="preserve">Fritschka &amp; K. </w:t>
      </w:r>
      <w:r w:rsidRPr="002D470C">
        <w:rPr>
          <w:rFonts w:ascii="Times New Roman" w:hAnsi="Times New Roman"/>
          <w:sz w:val="24"/>
          <w:szCs w:val="24"/>
          <w:lang w:val="en-US" w:eastAsia="fr-FR"/>
        </w:rPr>
        <w:t>Wimmers</w:t>
      </w:r>
      <w:r>
        <w:rPr>
          <w:rFonts w:ascii="Times New Roman" w:hAnsi="Times New Roman"/>
          <w:sz w:val="24"/>
          <w:szCs w:val="24"/>
          <w:lang w:val="en-US" w:eastAsia="fr-FR"/>
        </w:rPr>
        <w:t xml:space="preserve"> 2012. </w:t>
      </w:r>
      <w:r w:rsidRPr="002D470C">
        <w:rPr>
          <w:rFonts w:ascii="Times New Roman" w:hAnsi="Times New Roman"/>
          <w:sz w:val="24"/>
          <w:szCs w:val="24"/>
          <w:lang w:val="en-US" w:eastAsia="fr-FR"/>
        </w:rPr>
        <w:t xml:space="preserve">A </w:t>
      </w:r>
      <w:r>
        <w:rPr>
          <w:rFonts w:ascii="Times New Roman" w:hAnsi="Times New Roman"/>
          <w:sz w:val="24"/>
          <w:szCs w:val="24"/>
          <w:lang w:val="en-US" w:eastAsia="fr-FR"/>
        </w:rPr>
        <w:t>s</w:t>
      </w:r>
      <w:r w:rsidRPr="002D470C">
        <w:rPr>
          <w:rFonts w:ascii="Times New Roman" w:hAnsi="Times New Roman"/>
          <w:sz w:val="24"/>
          <w:szCs w:val="24"/>
          <w:lang w:val="en-US" w:eastAsia="fr-FR"/>
        </w:rPr>
        <w:t xml:space="preserve">ubstitution in the Ligand Binding Domain of the Porcine Glucocorticoid Receptor </w:t>
      </w:r>
      <w:r>
        <w:rPr>
          <w:rFonts w:ascii="Times New Roman" w:hAnsi="Times New Roman"/>
          <w:sz w:val="24"/>
          <w:szCs w:val="24"/>
          <w:lang w:val="en-US" w:eastAsia="fr-FR"/>
        </w:rPr>
        <w:t>a</w:t>
      </w:r>
      <w:r w:rsidRPr="002D470C">
        <w:rPr>
          <w:rFonts w:ascii="Times New Roman" w:hAnsi="Times New Roman"/>
          <w:sz w:val="24"/>
          <w:szCs w:val="24"/>
          <w:lang w:val="en-US" w:eastAsia="fr-FR"/>
        </w:rPr>
        <w:t xml:space="preserve">ffects </w:t>
      </w:r>
      <w:r>
        <w:rPr>
          <w:rFonts w:ascii="Times New Roman" w:hAnsi="Times New Roman"/>
          <w:sz w:val="24"/>
          <w:szCs w:val="24"/>
          <w:lang w:val="en-US" w:eastAsia="fr-FR"/>
        </w:rPr>
        <w:t>a</w:t>
      </w:r>
      <w:r w:rsidRPr="002D470C">
        <w:rPr>
          <w:rFonts w:ascii="Times New Roman" w:hAnsi="Times New Roman"/>
          <w:sz w:val="24"/>
          <w:szCs w:val="24"/>
          <w:lang w:val="en-US" w:eastAsia="fr-FR"/>
        </w:rPr>
        <w:t xml:space="preserve">ctivity of the </w:t>
      </w:r>
      <w:r>
        <w:rPr>
          <w:rFonts w:ascii="Times New Roman" w:hAnsi="Times New Roman"/>
          <w:sz w:val="24"/>
          <w:szCs w:val="24"/>
          <w:lang w:val="en-US" w:eastAsia="fr-FR"/>
        </w:rPr>
        <w:t>a</w:t>
      </w:r>
      <w:r w:rsidRPr="002D470C">
        <w:rPr>
          <w:rFonts w:ascii="Times New Roman" w:hAnsi="Times New Roman"/>
          <w:sz w:val="24"/>
          <w:szCs w:val="24"/>
          <w:lang w:val="en-US" w:eastAsia="fr-FR"/>
        </w:rPr>
        <w:t xml:space="preserve">drenal </w:t>
      </w:r>
      <w:r>
        <w:rPr>
          <w:rFonts w:ascii="Times New Roman" w:hAnsi="Times New Roman"/>
          <w:sz w:val="24"/>
          <w:szCs w:val="24"/>
          <w:lang w:val="en-US" w:eastAsia="fr-FR"/>
        </w:rPr>
        <w:t>g</w:t>
      </w:r>
      <w:r w:rsidRPr="002D470C">
        <w:rPr>
          <w:rFonts w:ascii="Times New Roman" w:hAnsi="Times New Roman"/>
          <w:sz w:val="24"/>
          <w:szCs w:val="24"/>
          <w:lang w:val="en-US" w:eastAsia="fr-FR"/>
        </w:rPr>
        <w:t>land</w:t>
      </w:r>
      <w:r>
        <w:rPr>
          <w:rFonts w:ascii="Times New Roman" w:hAnsi="Times New Roman"/>
          <w:sz w:val="24"/>
          <w:szCs w:val="24"/>
          <w:lang w:val="en-US" w:eastAsia="fr-FR"/>
        </w:rPr>
        <w:t>. Plos One 7(9):</w:t>
      </w:r>
      <w:r w:rsidRPr="002D470C">
        <w:rPr>
          <w:rFonts w:ascii="Times New Roman" w:hAnsi="Times New Roman"/>
          <w:sz w:val="24"/>
          <w:szCs w:val="24"/>
          <w:lang w:val="en-US" w:eastAsia="fr-FR"/>
        </w:rPr>
        <w:t xml:space="preserve"> </w:t>
      </w:r>
      <w:r>
        <w:rPr>
          <w:rFonts w:ascii="Times New Roman" w:hAnsi="Times New Roman"/>
          <w:sz w:val="24"/>
          <w:szCs w:val="24"/>
          <w:lang w:val="en-US" w:eastAsia="fr-FR"/>
        </w:rPr>
        <w:t>e45518.</w:t>
      </w:r>
    </w:p>
    <w:p w:rsidR="002D470C" w:rsidRPr="002D470C" w:rsidRDefault="002D470C" w:rsidP="00AE1CF2">
      <w:pPr>
        <w:tabs>
          <w:tab w:val="left" w:pos="284"/>
        </w:tabs>
        <w:ind w:left="284" w:hanging="284"/>
        <w:rPr>
          <w:rFonts w:ascii="Times New Roman" w:hAnsi="Times New Roman"/>
          <w:sz w:val="24"/>
          <w:lang w:val="en-US"/>
        </w:rPr>
      </w:pPr>
      <w:r w:rsidRPr="002D470C">
        <w:rPr>
          <w:rFonts w:ascii="Times New Roman" w:hAnsi="Times New Roman"/>
          <w:sz w:val="24"/>
          <w:lang w:val="en-US"/>
        </w:rPr>
        <w:t>Sargolzaei, M</w:t>
      </w:r>
      <w:r>
        <w:rPr>
          <w:rFonts w:ascii="Times New Roman" w:hAnsi="Times New Roman"/>
          <w:sz w:val="24"/>
          <w:lang w:val="en-US"/>
        </w:rPr>
        <w:t>.</w:t>
      </w:r>
      <w:r w:rsidRPr="002D470C">
        <w:rPr>
          <w:rFonts w:ascii="Times New Roman" w:hAnsi="Times New Roman"/>
          <w:sz w:val="24"/>
          <w:lang w:val="en-US"/>
        </w:rPr>
        <w:t>, J.P. Chesnay &amp; F.</w:t>
      </w:r>
      <w:r>
        <w:rPr>
          <w:rFonts w:ascii="Times New Roman" w:hAnsi="Times New Roman"/>
          <w:sz w:val="24"/>
          <w:lang w:val="en-US"/>
        </w:rPr>
        <w:t>S.</w:t>
      </w:r>
      <w:r w:rsidRPr="002D470C">
        <w:rPr>
          <w:rFonts w:ascii="Times New Roman" w:hAnsi="Times New Roman"/>
          <w:sz w:val="24"/>
          <w:lang w:val="en-US"/>
        </w:rPr>
        <w:t xml:space="preserve"> Schenkel, 2014</w:t>
      </w:r>
      <w:r>
        <w:rPr>
          <w:rFonts w:ascii="Times New Roman" w:hAnsi="Times New Roman"/>
          <w:sz w:val="24"/>
          <w:lang w:val="en-US"/>
        </w:rPr>
        <w:t xml:space="preserve">. </w:t>
      </w:r>
      <w:r w:rsidRPr="002D470C">
        <w:rPr>
          <w:rFonts w:ascii="Times New Roman" w:hAnsi="Times New Roman"/>
          <w:sz w:val="24"/>
          <w:lang w:val="en-US"/>
        </w:rPr>
        <w:t>A new approach for efficient genotype imputation using information from relatives. BMC genomics</w:t>
      </w:r>
      <w:r>
        <w:rPr>
          <w:rFonts w:ascii="Times New Roman" w:hAnsi="Times New Roman"/>
          <w:sz w:val="24"/>
          <w:lang w:val="en-US"/>
        </w:rPr>
        <w:t xml:space="preserve"> 15(1):</w:t>
      </w:r>
      <w:r w:rsidRPr="002D470C">
        <w:rPr>
          <w:rFonts w:ascii="Times New Roman" w:hAnsi="Times New Roman"/>
          <w:sz w:val="24"/>
          <w:lang w:val="en-US"/>
        </w:rPr>
        <w:t xml:space="preserve"> 1.</w:t>
      </w:r>
    </w:p>
    <w:sectPr w:rsidR="002D470C" w:rsidRPr="002D470C">
      <w:headerReference w:type="default" r:id="rId12"/>
      <w:pgSz w:w="11907" w:h="16840" w:code="9"/>
      <w:pgMar w:top="1560" w:right="1418" w:bottom="170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55F" w:rsidRDefault="00DB355F">
      <w:r>
        <w:separator/>
      </w:r>
    </w:p>
  </w:endnote>
  <w:endnote w:type="continuationSeparator" w:id="0">
    <w:p w:rsidR="00DB355F" w:rsidRDefault="00DB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55F" w:rsidRDefault="00DB355F">
      <w:r>
        <w:separator/>
      </w:r>
    </w:p>
  </w:footnote>
  <w:footnote w:type="continuationSeparator" w:id="0">
    <w:p w:rsidR="00DB355F" w:rsidRDefault="00DB3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DE" w:rsidRDefault="00611ADE">
    <w:pPr>
      <w:pStyle w:val="En-tte"/>
    </w:pPr>
    <w:r>
      <w:rPr>
        <w:rStyle w:val="Accentuation"/>
        <w:rFonts w:ascii="Calibri" w:hAnsi="Calibri"/>
        <w:color w:val="555555"/>
        <w:sz w:val="22"/>
        <w:szCs w:val="22"/>
      </w:rPr>
      <w:t>Proceedings of the World Congress on Genetics Applied to Livestock Production, 11.</w:t>
    </w:r>
    <w:r w:rsidR="001A733D">
      <w:rPr>
        <w:rStyle w:val="Accentuation"/>
        <w:rFonts w:ascii="Calibri" w:hAnsi="Calibri"/>
        <w:color w:val="555555"/>
        <w:sz w:val="22"/>
        <w:szCs w:val="22"/>
      </w:rPr>
      <w:t>214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E270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B41"/>
    <w:rsid w:val="00040D39"/>
    <w:rsid w:val="00065FB7"/>
    <w:rsid w:val="000E5FDD"/>
    <w:rsid w:val="00124131"/>
    <w:rsid w:val="0015491D"/>
    <w:rsid w:val="00186446"/>
    <w:rsid w:val="00195A56"/>
    <w:rsid w:val="001A733D"/>
    <w:rsid w:val="001E0229"/>
    <w:rsid w:val="00231F2D"/>
    <w:rsid w:val="00256605"/>
    <w:rsid w:val="002757F5"/>
    <w:rsid w:val="00280D0E"/>
    <w:rsid w:val="002A3AEF"/>
    <w:rsid w:val="002B6856"/>
    <w:rsid w:val="002C0412"/>
    <w:rsid w:val="002D13E9"/>
    <w:rsid w:val="002D470C"/>
    <w:rsid w:val="002E3EDC"/>
    <w:rsid w:val="00306E11"/>
    <w:rsid w:val="00310AD6"/>
    <w:rsid w:val="00314DA7"/>
    <w:rsid w:val="003C4FAC"/>
    <w:rsid w:val="003F26BD"/>
    <w:rsid w:val="00401B84"/>
    <w:rsid w:val="004113C1"/>
    <w:rsid w:val="0049285A"/>
    <w:rsid w:val="004934AA"/>
    <w:rsid w:val="004A0AAC"/>
    <w:rsid w:val="004A24C0"/>
    <w:rsid w:val="004C7AF0"/>
    <w:rsid w:val="00571EA3"/>
    <w:rsid w:val="00596F48"/>
    <w:rsid w:val="005A78FE"/>
    <w:rsid w:val="005D4B41"/>
    <w:rsid w:val="005E4941"/>
    <w:rsid w:val="00611ADE"/>
    <w:rsid w:val="006126B7"/>
    <w:rsid w:val="00731AA5"/>
    <w:rsid w:val="0077222A"/>
    <w:rsid w:val="00775159"/>
    <w:rsid w:val="0079320A"/>
    <w:rsid w:val="008419D2"/>
    <w:rsid w:val="008C0CF5"/>
    <w:rsid w:val="008C1D5D"/>
    <w:rsid w:val="008E7383"/>
    <w:rsid w:val="008F2712"/>
    <w:rsid w:val="00911B76"/>
    <w:rsid w:val="009123E2"/>
    <w:rsid w:val="00941A46"/>
    <w:rsid w:val="00945A0D"/>
    <w:rsid w:val="0096200B"/>
    <w:rsid w:val="0097553B"/>
    <w:rsid w:val="009C288A"/>
    <w:rsid w:val="00A06472"/>
    <w:rsid w:val="00AB74DD"/>
    <w:rsid w:val="00AE1CF2"/>
    <w:rsid w:val="00B05734"/>
    <w:rsid w:val="00B5134F"/>
    <w:rsid w:val="00C04D81"/>
    <w:rsid w:val="00C25F3B"/>
    <w:rsid w:val="00C32CC7"/>
    <w:rsid w:val="00C52F6F"/>
    <w:rsid w:val="00C62C5C"/>
    <w:rsid w:val="00C956F0"/>
    <w:rsid w:val="00CA0C29"/>
    <w:rsid w:val="00CB1AF1"/>
    <w:rsid w:val="00CD124A"/>
    <w:rsid w:val="00CD4105"/>
    <w:rsid w:val="00CE6E74"/>
    <w:rsid w:val="00D43B13"/>
    <w:rsid w:val="00D95C7F"/>
    <w:rsid w:val="00DB1D4D"/>
    <w:rsid w:val="00DB355F"/>
    <w:rsid w:val="00DC7A26"/>
    <w:rsid w:val="00DE7CC5"/>
    <w:rsid w:val="00DF40AF"/>
    <w:rsid w:val="00E06814"/>
    <w:rsid w:val="00E137E1"/>
    <w:rsid w:val="00E26EB2"/>
    <w:rsid w:val="00E327E9"/>
    <w:rsid w:val="00EB5A5A"/>
    <w:rsid w:val="00F37B9B"/>
    <w:rsid w:val="00F43187"/>
    <w:rsid w:val="00F66D33"/>
    <w:rsid w:val="00FA5C92"/>
    <w:rsid w:val="00FC2842"/>
    <w:rsid w:val="00FC71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Univers (W1)" w:hAnsi="Univers (W1)"/>
      <w:lang w:val="en-GB" w:eastAsia="nl-NL"/>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table" w:styleId="Grilledutableau">
    <w:name w:val="Table Grid"/>
    <w:basedOn w:val="TableauNormal"/>
    <w:rsid w:val="00C25F3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49285A"/>
    <w:rPr>
      <w:color w:val="0000FF"/>
      <w:u w:val="single"/>
    </w:rPr>
  </w:style>
  <w:style w:type="character" w:styleId="Marquedecommentaire">
    <w:name w:val="annotation reference"/>
    <w:rsid w:val="00AB74DD"/>
    <w:rPr>
      <w:sz w:val="16"/>
      <w:szCs w:val="16"/>
    </w:rPr>
  </w:style>
  <w:style w:type="paragraph" w:styleId="Commentaire">
    <w:name w:val="annotation text"/>
    <w:basedOn w:val="Normal"/>
    <w:link w:val="CommentaireCar"/>
    <w:rsid w:val="00AB74DD"/>
  </w:style>
  <w:style w:type="character" w:customStyle="1" w:styleId="CommentaireCar">
    <w:name w:val="Commentaire Car"/>
    <w:link w:val="Commentaire"/>
    <w:rsid w:val="00AB74DD"/>
    <w:rPr>
      <w:rFonts w:ascii="Univers (W1)" w:hAnsi="Univers (W1)"/>
      <w:lang w:val="en-GB" w:eastAsia="nl-NL"/>
    </w:rPr>
  </w:style>
  <w:style w:type="paragraph" w:styleId="Objetducommentaire">
    <w:name w:val="annotation subject"/>
    <w:basedOn w:val="Commentaire"/>
    <w:next w:val="Commentaire"/>
    <w:link w:val="ObjetducommentaireCar"/>
    <w:rsid w:val="00AB74DD"/>
    <w:rPr>
      <w:b/>
      <w:bCs/>
    </w:rPr>
  </w:style>
  <w:style w:type="character" w:customStyle="1" w:styleId="ObjetducommentaireCar">
    <w:name w:val="Objet du commentaire Car"/>
    <w:link w:val="Objetducommentaire"/>
    <w:rsid w:val="00AB74DD"/>
    <w:rPr>
      <w:rFonts w:ascii="Univers (W1)" w:hAnsi="Univers (W1)"/>
      <w:b/>
      <w:bCs/>
      <w:lang w:val="en-GB" w:eastAsia="nl-NL"/>
    </w:rPr>
  </w:style>
  <w:style w:type="paragraph" w:styleId="Textedebulles">
    <w:name w:val="Balloon Text"/>
    <w:basedOn w:val="Normal"/>
    <w:link w:val="TextedebullesCar"/>
    <w:rsid w:val="00AB74DD"/>
    <w:rPr>
      <w:rFonts w:ascii="Segoe UI" w:hAnsi="Segoe UI" w:cs="Segoe UI"/>
      <w:sz w:val="18"/>
      <w:szCs w:val="18"/>
    </w:rPr>
  </w:style>
  <w:style w:type="character" w:customStyle="1" w:styleId="TextedebullesCar">
    <w:name w:val="Texte de bulles Car"/>
    <w:link w:val="Textedebulles"/>
    <w:rsid w:val="00AB74DD"/>
    <w:rPr>
      <w:rFonts w:ascii="Segoe UI" w:hAnsi="Segoe UI" w:cs="Segoe UI"/>
      <w:sz w:val="18"/>
      <w:szCs w:val="18"/>
      <w:lang w:val="en-GB" w:eastAsia="nl-NL"/>
    </w:rPr>
  </w:style>
  <w:style w:type="character" w:styleId="Accentuation">
    <w:name w:val="Emphasis"/>
    <w:uiPriority w:val="20"/>
    <w:qFormat/>
    <w:rsid w:val="00611A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Univers (W1)" w:hAnsi="Univers (W1)"/>
      <w:lang w:val="en-GB" w:eastAsia="nl-NL"/>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table" w:styleId="Grilledutableau">
    <w:name w:val="Table Grid"/>
    <w:basedOn w:val="TableauNormal"/>
    <w:rsid w:val="00C25F3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49285A"/>
    <w:rPr>
      <w:color w:val="0000FF"/>
      <w:u w:val="single"/>
    </w:rPr>
  </w:style>
  <w:style w:type="character" w:styleId="Marquedecommentaire">
    <w:name w:val="annotation reference"/>
    <w:rsid w:val="00AB74DD"/>
    <w:rPr>
      <w:sz w:val="16"/>
      <w:szCs w:val="16"/>
    </w:rPr>
  </w:style>
  <w:style w:type="paragraph" w:styleId="Commentaire">
    <w:name w:val="annotation text"/>
    <w:basedOn w:val="Normal"/>
    <w:link w:val="CommentaireCar"/>
    <w:rsid w:val="00AB74DD"/>
  </w:style>
  <w:style w:type="character" w:customStyle="1" w:styleId="CommentaireCar">
    <w:name w:val="Commentaire Car"/>
    <w:link w:val="Commentaire"/>
    <w:rsid w:val="00AB74DD"/>
    <w:rPr>
      <w:rFonts w:ascii="Univers (W1)" w:hAnsi="Univers (W1)"/>
      <w:lang w:val="en-GB" w:eastAsia="nl-NL"/>
    </w:rPr>
  </w:style>
  <w:style w:type="paragraph" w:styleId="Objetducommentaire">
    <w:name w:val="annotation subject"/>
    <w:basedOn w:val="Commentaire"/>
    <w:next w:val="Commentaire"/>
    <w:link w:val="ObjetducommentaireCar"/>
    <w:rsid w:val="00AB74DD"/>
    <w:rPr>
      <w:b/>
      <w:bCs/>
    </w:rPr>
  </w:style>
  <w:style w:type="character" w:customStyle="1" w:styleId="ObjetducommentaireCar">
    <w:name w:val="Objet du commentaire Car"/>
    <w:link w:val="Objetducommentaire"/>
    <w:rsid w:val="00AB74DD"/>
    <w:rPr>
      <w:rFonts w:ascii="Univers (W1)" w:hAnsi="Univers (W1)"/>
      <w:b/>
      <w:bCs/>
      <w:lang w:val="en-GB" w:eastAsia="nl-NL"/>
    </w:rPr>
  </w:style>
  <w:style w:type="paragraph" w:styleId="Textedebulles">
    <w:name w:val="Balloon Text"/>
    <w:basedOn w:val="Normal"/>
    <w:link w:val="TextedebullesCar"/>
    <w:rsid w:val="00AB74DD"/>
    <w:rPr>
      <w:rFonts w:ascii="Segoe UI" w:hAnsi="Segoe UI" w:cs="Segoe UI"/>
      <w:sz w:val="18"/>
      <w:szCs w:val="18"/>
    </w:rPr>
  </w:style>
  <w:style w:type="character" w:customStyle="1" w:styleId="TextedebullesCar">
    <w:name w:val="Texte de bulles Car"/>
    <w:link w:val="Textedebulles"/>
    <w:rsid w:val="00AB74DD"/>
    <w:rPr>
      <w:rFonts w:ascii="Segoe UI" w:hAnsi="Segoe UI" w:cs="Segoe UI"/>
      <w:sz w:val="18"/>
      <w:szCs w:val="18"/>
      <w:lang w:val="en-GB" w:eastAsia="nl-NL"/>
    </w:rPr>
  </w:style>
  <w:style w:type="character" w:styleId="Accentuation">
    <w:name w:val="Emphasis"/>
    <w:uiPriority w:val="20"/>
    <w:qFormat/>
    <w:rsid w:val="00611A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73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atherine.larzul@inra.f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tls-gps-dfs\home\clarzul\Documents\Professionnel\Documents\Porcs\ACTH\evol_genet.xlsm"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800627479142784"/>
          <c:y val="4.8489443520565917E-2"/>
          <c:w val="0.89199372520857212"/>
          <c:h val="0.90302111295886822"/>
        </c:manualLayout>
      </c:layout>
      <c:lineChart>
        <c:grouping val="standard"/>
        <c:varyColors val="0"/>
        <c:ser>
          <c:idx val="0"/>
          <c:order val="0"/>
          <c:tx>
            <c:strRef>
              <c:f>Feuil1!$B$1</c:f>
              <c:strCache>
                <c:ptCount val="1"/>
                <c:pt idx="0">
                  <c:v>H line</c:v>
                </c:pt>
              </c:strCache>
            </c:strRef>
          </c:tx>
          <c:marker>
            <c:symbol val="none"/>
          </c:marker>
          <c:cat>
            <c:strRef>
              <c:f>Feuil1!$A$2:$A$5</c:f>
              <c:strCache>
                <c:ptCount val="4"/>
                <c:pt idx="0">
                  <c:v>F0</c:v>
                </c:pt>
                <c:pt idx="1">
                  <c:v>G1</c:v>
                </c:pt>
                <c:pt idx="2">
                  <c:v>G2</c:v>
                </c:pt>
                <c:pt idx="3">
                  <c:v>G3</c:v>
                </c:pt>
              </c:strCache>
            </c:strRef>
          </c:cat>
          <c:val>
            <c:numRef>
              <c:f>Feuil1!$B$2:$B$5</c:f>
              <c:numCache>
                <c:formatCode>General</c:formatCode>
                <c:ptCount val="4"/>
                <c:pt idx="0">
                  <c:v>0</c:v>
                </c:pt>
                <c:pt idx="1">
                  <c:v>0.36543756906077351</c:v>
                </c:pt>
                <c:pt idx="2">
                  <c:v>0.92787292817679556</c:v>
                </c:pt>
                <c:pt idx="3">
                  <c:v>1.7361160220994476</c:v>
                </c:pt>
              </c:numCache>
            </c:numRef>
          </c:val>
          <c:smooth val="0"/>
        </c:ser>
        <c:ser>
          <c:idx val="1"/>
          <c:order val="1"/>
          <c:tx>
            <c:strRef>
              <c:f>Feuil1!$C$1</c:f>
              <c:strCache>
                <c:ptCount val="1"/>
                <c:pt idx="0">
                  <c:v>L line</c:v>
                </c:pt>
              </c:strCache>
            </c:strRef>
          </c:tx>
          <c:marker>
            <c:symbol val="none"/>
          </c:marker>
          <c:cat>
            <c:strRef>
              <c:f>Feuil1!$A$2:$A$5</c:f>
              <c:strCache>
                <c:ptCount val="4"/>
                <c:pt idx="0">
                  <c:v>F0</c:v>
                </c:pt>
                <c:pt idx="1">
                  <c:v>G1</c:v>
                </c:pt>
                <c:pt idx="2">
                  <c:v>G2</c:v>
                </c:pt>
                <c:pt idx="3">
                  <c:v>G3</c:v>
                </c:pt>
              </c:strCache>
            </c:strRef>
          </c:cat>
          <c:val>
            <c:numRef>
              <c:f>Feuil1!$C$2:$C$5</c:f>
              <c:numCache>
                <c:formatCode>General</c:formatCode>
                <c:ptCount val="4"/>
                <c:pt idx="0">
                  <c:v>0</c:v>
                </c:pt>
                <c:pt idx="1">
                  <c:v>-0.59526740331491712</c:v>
                </c:pt>
                <c:pt idx="2">
                  <c:v>-1.3322176795580112</c:v>
                </c:pt>
                <c:pt idx="3">
                  <c:v>-2.5993790055248618</c:v>
                </c:pt>
              </c:numCache>
            </c:numRef>
          </c:val>
          <c:smooth val="0"/>
        </c:ser>
        <c:dLbls>
          <c:showLegendKey val="0"/>
          <c:showVal val="0"/>
          <c:showCatName val="0"/>
          <c:showSerName val="0"/>
          <c:showPercent val="0"/>
          <c:showBubbleSize val="0"/>
        </c:dLbls>
        <c:marker val="1"/>
        <c:smooth val="0"/>
        <c:axId val="185653120"/>
        <c:axId val="112046848"/>
      </c:lineChart>
      <c:catAx>
        <c:axId val="185653120"/>
        <c:scaling>
          <c:orientation val="minMax"/>
        </c:scaling>
        <c:delete val="0"/>
        <c:axPos val="b"/>
        <c:numFmt formatCode="General" sourceLinked="1"/>
        <c:majorTickMark val="out"/>
        <c:minorTickMark val="none"/>
        <c:tickLblPos val="nextTo"/>
        <c:txPr>
          <a:bodyPr/>
          <a:lstStyle/>
          <a:p>
            <a:pPr>
              <a:defRPr sz="1600"/>
            </a:pPr>
            <a:endParaRPr lang="fr-FR"/>
          </a:p>
        </c:txPr>
        <c:crossAx val="112046848"/>
        <c:crosses val="autoZero"/>
        <c:auto val="1"/>
        <c:lblAlgn val="ctr"/>
        <c:lblOffset val="100"/>
        <c:noMultiLvlLbl val="0"/>
      </c:catAx>
      <c:valAx>
        <c:axId val="112046848"/>
        <c:scaling>
          <c:orientation val="minMax"/>
        </c:scaling>
        <c:delete val="0"/>
        <c:axPos val="l"/>
        <c:majorGridlines/>
        <c:numFmt formatCode="General" sourceLinked="1"/>
        <c:majorTickMark val="out"/>
        <c:minorTickMark val="none"/>
        <c:tickLblPos val="nextTo"/>
        <c:txPr>
          <a:bodyPr/>
          <a:lstStyle/>
          <a:p>
            <a:pPr>
              <a:defRPr sz="1600"/>
            </a:pPr>
            <a:endParaRPr lang="fr-FR"/>
          </a:p>
        </c:txPr>
        <c:crossAx val="185653120"/>
        <c:crosses val="autoZero"/>
        <c:crossBetween val="between"/>
      </c:valAx>
    </c:plotArea>
    <c:legend>
      <c:legendPos val="r"/>
      <c:layout>
        <c:manualLayout>
          <c:xMode val="edge"/>
          <c:yMode val="edge"/>
          <c:x val="0.18833712180228626"/>
          <c:y val="6.020039041661418E-2"/>
          <c:w val="0.13680637742230714"/>
          <c:h val="0.15053510969703537"/>
        </c:manualLayout>
      </c:layout>
      <c:overlay val="0"/>
      <c:txPr>
        <a:bodyPr/>
        <a:lstStyle/>
        <a:p>
          <a:pPr>
            <a:defRPr sz="1400"/>
          </a:pPr>
          <a:endParaRPr lang="fr-FR"/>
        </a:p>
      </c:txPr>
    </c:legend>
    <c:plotVisOnly val="1"/>
    <c:dispBlanksAs val="gap"/>
    <c:showDLblsOverMax val="0"/>
  </c:chart>
  <c:txPr>
    <a:bodyPr/>
    <a:lstStyle/>
    <a:p>
      <a:pPr>
        <a:defRPr sz="1200"/>
      </a:pPr>
      <a:endParaRPr lang="fr-FR"/>
    </a:p>
  </c:tx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6</Pages>
  <Words>1834</Words>
  <Characters>10093</Characters>
  <Application>Microsoft Office Word</Application>
  <DocSecurity>0</DocSecurity>
  <Lines>84</Lines>
  <Paragraphs>23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Guide for authors for the preparation of camera-ready papers and summerized posters</vt:lpstr>
      <vt:lpstr>Guide for authors for the preparation of camera-ready papers and summerized posters</vt:lpstr>
      <vt:lpstr>Guide for authors for the preparation of camera-ready papers and summerized posters</vt:lpstr>
    </vt:vector>
  </TitlesOfParts>
  <Company>WageningenPers</Company>
  <LinksUpToDate>false</LinksUpToDate>
  <CharactersWithSpaces>11904</CharactersWithSpaces>
  <SharedDoc>false</SharedDoc>
  <HLinks>
    <vt:vector size="6" baseType="variant">
      <vt:variant>
        <vt:i4>6160435</vt:i4>
      </vt:variant>
      <vt:variant>
        <vt:i4>0</vt:i4>
      </vt:variant>
      <vt:variant>
        <vt:i4>0</vt:i4>
      </vt:variant>
      <vt:variant>
        <vt:i4>5</vt:i4>
      </vt:variant>
      <vt:variant>
        <vt:lpwstr>mailto:catherine.larzul@inra.fr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authors for the preparation of camera-ready papers and summerized posters</dc:title>
  <dc:creator>A.F.M. Jacobs</dc:creator>
  <cp:lastModifiedBy> </cp:lastModifiedBy>
  <cp:revision>2</cp:revision>
  <cp:lastPrinted>2000-02-09T15:22:00Z</cp:lastPrinted>
  <dcterms:created xsi:type="dcterms:W3CDTF">2018-02-05T08:57:00Z</dcterms:created>
  <dcterms:modified xsi:type="dcterms:W3CDTF">2018-02-05T08:57:00Z</dcterms:modified>
</cp:coreProperties>
</file>