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EA" w:rsidRDefault="0049491A" w:rsidP="00B61A6D">
      <w:pPr>
        <w:jc w:val="center"/>
        <w:rPr>
          <w:b/>
          <w:sz w:val="32"/>
          <w:lang w:val="en-US"/>
        </w:rPr>
      </w:pPr>
      <w:bookmarkStart w:id="0" w:name="_GoBack"/>
      <w:bookmarkEnd w:id="0"/>
      <w:r>
        <w:rPr>
          <w:b/>
          <w:sz w:val="32"/>
          <w:lang w:val="en-US"/>
        </w:rPr>
        <w:t>K</w:t>
      </w:r>
      <w:r w:rsidR="00B61A6D" w:rsidRPr="00B61A6D">
        <w:rPr>
          <w:b/>
          <w:sz w:val="32"/>
          <w:lang w:val="en-US"/>
        </w:rPr>
        <w:t xml:space="preserve">inetics of food bolus formation </w:t>
      </w:r>
      <w:r w:rsidR="00F24A6D">
        <w:rPr>
          <w:b/>
          <w:sz w:val="32"/>
          <w:lang w:val="en-US"/>
        </w:rPr>
        <w:t xml:space="preserve">and nutrient bioaccessibility </w:t>
      </w:r>
      <w:r w:rsidR="00B22D91">
        <w:rPr>
          <w:b/>
          <w:sz w:val="32"/>
          <w:lang w:val="en-US"/>
        </w:rPr>
        <w:t xml:space="preserve">as a function of the progress of mastication of </w:t>
      </w:r>
      <w:r w:rsidR="00B61A6D" w:rsidRPr="00B61A6D">
        <w:rPr>
          <w:b/>
          <w:sz w:val="32"/>
          <w:lang w:val="en-US"/>
        </w:rPr>
        <w:t>Frankfurters</w:t>
      </w:r>
      <w:r>
        <w:rPr>
          <w:b/>
          <w:sz w:val="32"/>
          <w:lang w:val="en-US"/>
        </w:rPr>
        <w:t xml:space="preserve"> models</w:t>
      </w:r>
      <w:r w:rsidR="00B61A6D" w:rsidRPr="00B61A6D">
        <w:rPr>
          <w:b/>
          <w:sz w:val="32"/>
          <w:lang w:val="en-US"/>
        </w:rPr>
        <w:t xml:space="preserve"> </w:t>
      </w:r>
    </w:p>
    <w:p w:rsidR="00045BFD" w:rsidRDefault="00045BFD">
      <w:pPr>
        <w:rPr>
          <w:color w:val="000000"/>
          <w:sz w:val="24"/>
          <w:szCs w:val="27"/>
        </w:rPr>
      </w:pPr>
    </w:p>
    <w:p w:rsidR="00E73098" w:rsidRDefault="00E73098">
      <w:pPr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Santé-</w:t>
      </w:r>
      <w:proofErr w:type="spellStart"/>
      <w:r>
        <w:rPr>
          <w:color w:val="000000"/>
          <w:sz w:val="24"/>
          <w:szCs w:val="27"/>
        </w:rPr>
        <w:t>Lhoutellier</w:t>
      </w:r>
      <w:proofErr w:type="spellEnd"/>
      <w:r>
        <w:rPr>
          <w:color w:val="000000"/>
          <w:sz w:val="24"/>
          <w:szCs w:val="27"/>
        </w:rPr>
        <w:t xml:space="preserve"> V</w:t>
      </w:r>
      <w:r w:rsidR="00045BFD" w:rsidRPr="00045BFD">
        <w:rPr>
          <w:color w:val="000000"/>
          <w:sz w:val="24"/>
          <w:szCs w:val="27"/>
          <w:vertAlign w:val="superscript"/>
        </w:rPr>
        <w:t>1</w:t>
      </w:r>
      <w:r>
        <w:rPr>
          <w:color w:val="000000"/>
          <w:sz w:val="24"/>
          <w:szCs w:val="27"/>
        </w:rPr>
        <w:t>, Aubry L</w:t>
      </w:r>
      <w:r w:rsidR="00045BFD" w:rsidRPr="00045BFD">
        <w:rPr>
          <w:color w:val="000000"/>
          <w:sz w:val="24"/>
          <w:szCs w:val="27"/>
          <w:vertAlign w:val="superscript"/>
        </w:rPr>
        <w:t>1</w:t>
      </w:r>
      <w:r>
        <w:rPr>
          <w:color w:val="000000"/>
          <w:sz w:val="24"/>
          <w:szCs w:val="27"/>
        </w:rPr>
        <w:t>, Ferreira C</w:t>
      </w:r>
      <w:r w:rsidR="00045BFD" w:rsidRPr="00045BFD">
        <w:rPr>
          <w:color w:val="000000"/>
          <w:sz w:val="24"/>
          <w:szCs w:val="27"/>
          <w:vertAlign w:val="superscript"/>
        </w:rPr>
        <w:t>1</w:t>
      </w:r>
      <w:r>
        <w:rPr>
          <w:color w:val="000000"/>
          <w:sz w:val="24"/>
          <w:szCs w:val="27"/>
        </w:rPr>
        <w:t xml:space="preserve">, </w:t>
      </w:r>
      <w:proofErr w:type="spellStart"/>
      <w:r>
        <w:rPr>
          <w:color w:val="000000"/>
          <w:sz w:val="24"/>
          <w:szCs w:val="27"/>
        </w:rPr>
        <w:t>Hennequin</w:t>
      </w:r>
      <w:proofErr w:type="spellEnd"/>
      <w:r>
        <w:rPr>
          <w:color w:val="000000"/>
          <w:sz w:val="24"/>
          <w:szCs w:val="27"/>
        </w:rPr>
        <w:t xml:space="preserve"> A</w:t>
      </w:r>
      <w:r w:rsidR="00045BFD" w:rsidRPr="00045BFD">
        <w:rPr>
          <w:color w:val="000000"/>
          <w:sz w:val="24"/>
          <w:szCs w:val="27"/>
          <w:vertAlign w:val="superscript"/>
        </w:rPr>
        <w:t>1</w:t>
      </w:r>
      <w:r>
        <w:rPr>
          <w:color w:val="000000"/>
          <w:sz w:val="24"/>
          <w:szCs w:val="27"/>
        </w:rPr>
        <w:t>, Peyron MA</w:t>
      </w:r>
      <w:r w:rsidR="00045BFD" w:rsidRPr="00045BFD">
        <w:rPr>
          <w:color w:val="000000"/>
          <w:sz w:val="24"/>
          <w:szCs w:val="27"/>
          <w:vertAlign w:val="superscript"/>
        </w:rPr>
        <w:t>2</w:t>
      </w:r>
    </w:p>
    <w:p w:rsidR="00E7068F" w:rsidRDefault="00045BFD" w:rsidP="00E73098">
      <w:pPr>
        <w:jc w:val="both"/>
        <w:rPr>
          <w:color w:val="000000"/>
          <w:sz w:val="24"/>
          <w:szCs w:val="27"/>
        </w:rPr>
      </w:pPr>
      <w:r w:rsidRPr="00045BFD">
        <w:rPr>
          <w:color w:val="000000"/>
          <w:sz w:val="24"/>
          <w:szCs w:val="27"/>
          <w:vertAlign w:val="superscript"/>
        </w:rPr>
        <w:t>1</w:t>
      </w:r>
      <w:r w:rsidRPr="000C7DA3">
        <w:rPr>
          <w:color w:val="000000"/>
          <w:sz w:val="24"/>
          <w:szCs w:val="27"/>
        </w:rPr>
        <w:t xml:space="preserve"> </w:t>
      </w:r>
      <w:r w:rsidR="000C7DA3" w:rsidRPr="000C7DA3">
        <w:rPr>
          <w:i/>
          <w:color w:val="000000"/>
          <w:sz w:val="20"/>
          <w:szCs w:val="27"/>
        </w:rPr>
        <w:t xml:space="preserve">INRA, </w:t>
      </w:r>
      <w:proofErr w:type="spellStart"/>
      <w:r w:rsidR="000C7DA3" w:rsidRPr="000C7DA3">
        <w:rPr>
          <w:i/>
          <w:color w:val="000000"/>
          <w:sz w:val="20"/>
          <w:szCs w:val="27"/>
        </w:rPr>
        <w:t>QuaPA</w:t>
      </w:r>
      <w:proofErr w:type="spellEnd"/>
      <w:r w:rsidR="000C7DA3" w:rsidRPr="000C7DA3">
        <w:rPr>
          <w:i/>
          <w:color w:val="000000"/>
          <w:sz w:val="20"/>
          <w:szCs w:val="27"/>
        </w:rPr>
        <w:t xml:space="preserve">, UR 370, F-63122 saint Genès </w:t>
      </w:r>
      <w:proofErr w:type="spellStart"/>
      <w:r w:rsidR="000C7DA3" w:rsidRPr="000C7DA3">
        <w:rPr>
          <w:i/>
          <w:color w:val="000000"/>
          <w:sz w:val="20"/>
          <w:szCs w:val="27"/>
        </w:rPr>
        <w:t>Champanelle</w:t>
      </w:r>
      <w:proofErr w:type="spellEnd"/>
      <w:r w:rsidR="000C7DA3" w:rsidRPr="000C7DA3">
        <w:rPr>
          <w:i/>
          <w:color w:val="000000"/>
          <w:sz w:val="20"/>
          <w:szCs w:val="27"/>
        </w:rPr>
        <w:t>, France</w:t>
      </w:r>
    </w:p>
    <w:p w:rsidR="00A324B3" w:rsidRPr="00D90E90" w:rsidRDefault="00045BFD" w:rsidP="00A324B3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45BFD">
        <w:rPr>
          <w:color w:val="000000"/>
          <w:sz w:val="24"/>
          <w:szCs w:val="27"/>
          <w:vertAlign w:val="superscript"/>
        </w:rPr>
        <w:t>2</w:t>
      </w:r>
      <w:r w:rsidR="00A324B3">
        <w:rPr>
          <w:color w:val="000000"/>
          <w:sz w:val="24"/>
          <w:szCs w:val="27"/>
          <w:vertAlign w:val="superscript"/>
        </w:rPr>
        <w:t xml:space="preserve"> </w:t>
      </w:r>
      <w:r w:rsidR="00A324B3" w:rsidRPr="00D90E90">
        <w:rPr>
          <w:rFonts w:cstheme="minorHAnsi"/>
          <w:i/>
          <w:sz w:val="20"/>
          <w:szCs w:val="24"/>
        </w:rPr>
        <w:t>Clermont Université, Université d’Auvergne, Unité de Nutrition Humaine, BP 10448, F-63000 Clermont-Ferrand ; INRA, UMR 1019, UNH, CRNH Auvergne, F-63000 Clermont-Ferrand, France</w:t>
      </w:r>
    </w:p>
    <w:p w:rsidR="00045BFD" w:rsidRDefault="00045BFD" w:rsidP="00E73098">
      <w:pPr>
        <w:jc w:val="both"/>
        <w:rPr>
          <w:color w:val="000000"/>
          <w:sz w:val="24"/>
          <w:szCs w:val="27"/>
        </w:rPr>
      </w:pPr>
    </w:p>
    <w:p w:rsidR="008340A1" w:rsidRDefault="00DB2560" w:rsidP="00E73098">
      <w:pPr>
        <w:jc w:val="both"/>
        <w:rPr>
          <w:color w:val="000000"/>
          <w:sz w:val="24"/>
          <w:szCs w:val="27"/>
          <w:lang w:val="en-US"/>
        </w:rPr>
      </w:pPr>
      <w:r>
        <w:rPr>
          <w:color w:val="000000"/>
          <w:sz w:val="24"/>
          <w:szCs w:val="27"/>
          <w:lang w:val="en-US"/>
        </w:rPr>
        <w:t xml:space="preserve">The preparation of a food bolus for swallowing is the main task of oral elements involved in </w:t>
      </w:r>
      <w:r w:rsidR="00A510D6">
        <w:rPr>
          <w:color w:val="000000"/>
          <w:sz w:val="24"/>
          <w:szCs w:val="27"/>
          <w:lang w:val="en-US"/>
        </w:rPr>
        <w:t xml:space="preserve">the </w:t>
      </w:r>
      <w:r>
        <w:rPr>
          <w:color w:val="000000"/>
          <w:sz w:val="24"/>
          <w:szCs w:val="27"/>
          <w:lang w:val="en-US"/>
        </w:rPr>
        <w:t xml:space="preserve">masticatory process. The combined events designed for that are perfectly adjusted to food structure. </w:t>
      </w:r>
      <w:r w:rsidR="00A77666">
        <w:rPr>
          <w:color w:val="000000"/>
          <w:sz w:val="24"/>
          <w:szCs w:val="27"/>
          <w:lang w:val="en-US"/>
        </w:rPr>
        <w:t xml:space="preserve">With a </w:t>
      </w:r>
      <w:r>
        <w:rPr>
          <w:color w:val="000000"/>
          <w:sz w:val="24"/>
          <w:szCs w:val="27"/>
          <w:lang w:val="en-US"/>
        </w:rPr>
        <w:t xml:space="preserve">correct oral state and normal mastication, </w:t>
      </w:r>
      <w:r w:rsidR="00A510D6">
        <w:rPr>
          <w:color w:val="000000"/>
          <w:sz w:val="24"/>
          <w:szCs w:val="27"/>
          <w:lang w:val="en-US"/>
        </w:rPr>
        <w:t>a</w:t>
      </w:r>
      <w:r>
        <w:rPr>
          <w:color w:val="000000"/>
          <w:sz w:val="24"/>
          <w:szCs w:val="27"/>
          <w:lang w:val="en-US"/>
        </w:rPr>
        <w:t xml:space="preserve"> follow-up </w:t>
      </w:r>
      <w:r w:rsidR="005667B3">
        <w:rPr>
          <w:color w:val="000000"/>
          <w:sz w:val="24"/>
          <w:szCs w:val="27"/>
          <w:lang w:val="en-US"/>
        </w:rPr>
        <w:t>to the bolus formation provides great information regarding mechanism</w:t>
      </w:r>
      <w:r w:rsidR="00E73098">
        <w:rPr>
          <w:color w:val="000000"/>
          <w:sz w:val="24"/>
          <w:szCs w:val="27"/>
          <w:lang w:val="en-US"/>
        </w:rPr>
        <w:t>s</w:t>
      </w:r>
      <w:r w:rsidR="005667B3">
        <w:rPr>
          <w:color w:val="000000"/>
          <w:sz w:val="24"/>
          <w:szCs w:val="27"/>
          <w:lang w:val="en-US"/>
        </w:rPr>
        <w:t xml:space="preserve"> underlying food breakdown and other processing during which oral sensations and first steps of digestion take place.</w:t>
      </w:r>
      <w:r w:rsidR="00B87635">
        <w:rPr>
          <w:color w:val="000000"/>
          <w:sz w:val="24"/>
          <w:szCs w:val="27"/>
          <w:lang w:val="en-US"/>
        </w:rPr>
        <w:t xml:space="preserve"> The food bolus is the result of matrix breakdown and saliva </w:t>
      </w:r>
      <w:r w:rsidR="001C0610">
        <w:rPr>
          <w:color w:val="000000"/>
          <w:sz w:val="24"/>
          <w:szCs w:val="27"/>
          <w:lang w:val="en-US"/>
        </w:rPr>
        <w:t xml:space="preserve">incorporation </w:t>
      </w:r>
      <w:r w:rsidR="00795F7F">
        <w:rPr>
          <w:color w:val="000000"/>
          <w:sz w:val="24"/>
          <w:szCs w:val="27"/>
          <w:lang w:val="en-US"/>
        </w:rPr>
        <w:t>that</w:t>
      </w:r>
      <w:r w:rsidR="00B87635">
        <w:rPr>
          <w:color w:val="000000"/>
          <w:sz w:val="24"/>
          <w:szCs w:val="27"/>
          <w:lang w:val="en-US"/>
        </w:rPr>
        <w:t xml:space="preserve"> favors particles agglomeration</w:t>
      </w:r>
      <w:r w:rsidR="00E3454D">
        <w:rPr>
          <w:color w:val="000000"/>
          <w:sz w:val="24"/>
          <w:szCs w:val="27"/>
          <w:lang w:val="en-US"/>
        </w:rPr>
        <w:t xml:space="preserve">, </w:t>
      </w:r>
      <w:r w:rsidR="00E7068F">
        <w:rPr>
          <w:color w:val="000000"/>
          <w:sz w:val="24"/>
          <w:szCs w:val="27"/>
          <w:lang w:val="en-US"/>
        </w:rPr>
        <w:t>combined outcome finally triggering</w:t>
      </w:r>
      <w:r w:rsidR="00E3454D">
        <w:rPr>
          <w:color w:val="000000"/>
          <w:sz w:val="24"/>
          <w:szCs w:val="27"/>
          <w:lang w:val="en-US"/>
        </w:rPr>
        <w:t xml:space="preserve"> swallowing</w:t>
      </w:r>
      <w:r w:rsidR="00B87635">
        <w:rPr>
          <w:color w:val="000000"/>
          <w:sz w:val="24"/>
          <w:szCs w:val="27"/>
          <w:lang w:val="en-US"/>
        </w:rPr>
        <w:t xml:space="preserve">.  This work aimed </w:t>
      </w:r>
      <w:r w:rsidR="00E7068F">
        <w:rPr>
          <w:color w:val="000000"/>
          <w:sz w:val="24"/>
          <w:szCs w:val="27"/>
          <w:lang w:val="en-US"/>
        </w:rPr>
        <w:t>at investigating</w:t>
      </w:r>
      <w:r w:rsidR="00B87635">
        <w:rPr>
          <w:color w:val="000000"/>
          <w:sz w:val="24"/>
          <w:szCs w:val="27"/>
          <w:lang w:val="en-US"/>
        </w:rPr>
        <w:t xml:space="preserve"> </w:t>
      </w:r>
      <w:r w:rsidR="00E7068F">
        <w:rPr>
          <w:color w:val="000000"/>
          <w:sz w:val="24"/>
          <w:szCs w:val="27"/>
          <w:lang w:val="en-US"/>
        </w:rPr>
        <w:t xml:space="preserve">the </w:t>
      </w:r>
      <w:r w:rsidR="00FF3389">
        <w:rPr>
          <w:color w:val="000000"/>
          <w:sz w:val="24"/>
          <w:szCs w:val="27"/>
          <w:lang w:val="en-US"/>
        </w:rPr>
        <w:t xml:space="preserve">kinetics of bolus formation </w:t>
      </w:r>
      <w:r w:rsidR="0052455A">
        <w:rPr>
          <w:color w:val="000000"/>
          <w:sz w:val="24"/>
          <w:szCs w:val="27"/>
          <w:lang w:val="en-US"/>
        </w:rPr>
        <w:t xml:space="preserve">along </w:t>
      </w:r>
      <w:r w:rsidR="00E7068F">
        <w:rPr>
          <w:color w:val="000000"/>
          <w:sz w:val="24"/>
          <w:szCs w:val="27"/>
          <w:lang w:val="en-US"/>
        </w:rPr>
        <w:t xml:space="preserve">the </w:t>
      </w:r>
      <w:r w:rsidR="0052455A">
        <w:rPr>
          <w:color w:val="000000"/>
          <w:sz w:val="24"/>
          <w:szCs w:val="27"/>
          <w:lang w:val="en-US"/>
        </w:rPr>
        <w:t xml:space="preserve">masticatory process </w:t>
      </w:r>
      <w:r w:rsidR="00E3454D">
        <w:rPr>
          <w:color w:val="000000"/>
          <w:sz w:val="24"/>
          <w:szCs w:val="27"/>
          <w:lang w:val="en-US"/>
        </w:rPr>
        <w:t xml:space="preserve">regarding physical characteristics and oral bioaccessibility of nutrients. </w:t>
      </w:r>
    </w:p>
    <w:p w:rsidR="008340A1" w:rsidRDefault="00E7068F" w:rsidP="00E73098">
      <w:pPr>
        <w:jc w:val="both"/>
        <w:rPr>
          <w:color w:val="000000"/>
          <w:sz w:val="24"/>
          <w:szCs w:val="27"/>
          <w:lang w:val="en-US"/>
        </w:rPr>
      </w:pPr>
      <w:r w:rsidRPr="008D62D6">
        <w:rPr>
          <w:i/>
          <w:color w:val="000000"/>
          <w:sz w:val="24"/>
          <w:szCs w:val="27"/>
          <w:lang w:val="en-US"/>
        </w:rPr>
        <w:t>In vitro</w:t>
      </w:r>
      <w:r>
        <w:rPr>
          <w:color w:val="000000"/>
          <w:sz w:val="24"/>
          <w:szCs w:val="27"/>
          <w:lang w:val="en-US"/>
        </w:rPr>
        <w:t xml:space="preserve"> m</w:t>
      </w:r>
      <w:r w:rsidR="00AF48C1">
        <w:rPr>
          <w:color w:val="000000"/>
          <w:sz w:val="24"/>
          <w:szCs w:val="27"/>
          <w:lang w:val="en-US"/>
        </w:rPr>
        <w:t>asticatory sequences were realized with the AM2 masticator apparatus programmed for normal mastication</w:t>
      </w:r>
      <w:r w:rsidR="00881F1C">
        <w:rPr>
          <w:color w:val="000000"/>
          <w:sz w:val="24"/>
          <w:szCs w:val="27"/>
          <w:lang w:val="en-US"/>
        </w:rPr>
        <w:t xml:space="preserve"> </w:t>
      </w:r>
      <w:r>
        <w:rPr>
          <w:color w:val="000000"/>
          <w:sz w:val="24"/>
          <w:szCs w:val="27"/>
          <w:lang w:val="en-US"/>
        </w:rPr>
        <w:t xml:space="preserve">of Frankfurters </w:t>
      </w:r>
      <w:r w:rsidR="00881F1C">
        <w:rPr>
          <w:color w:val="000000"/>
          <w:sz w:val="24"/>
          <w:szCs w:val="27"/>
          <w:lang w:val="en-US"/>
        </w:rPr>
        <w:t xml:space="preserve">thanks to </w:t>
      </w:r>
      <w:r w:rsidR="00881F1C" w:rsidRPr="00881F1C">
        <w:rPr>
          <w:i/>
          <w:color w:val="000000"/>
          <w:sz w:val="24"/>
          <w:szCs w:val="27"/>
          <w:lang w:val="en-US"/>
        </w:rPr>
        <w:t>in vivo</w:t>
      </w:r>
      <w:r w:rsidR="00881F1C">
        <w:rPr>
          <w:color w:val="000000"/>
          <w:sz w:val="24"/>
          <w:szCs w:val="27"/>
          <w:lang w:val="en-US"/>
        </w:rPr>
        <w:t xml:space="preserve"> data</w:t>
      </w:r>
      <w:r w:rsidR="00AF48C1">
        <w:rPr>
          <w:color w:val="000000"/>
          <w:sz w:val="24"/>
          <w:szCs w:val="27"/>
          <w:lang w:val="en-US"/>
        </w:rPr>
        <w:t xml:space="preserve"> </w:t>
      </w:r>
      <w:r w:rsidR="00881F1C">
        <w:rPr>
          <w:color w:val="000000"/>
          <w:sz w:val="24"/>
          <w:szCs w:val="27"/>
          <w:lang w:val="en-US"/>
        </w:rPr>
        <w:t xml:space="preserve">obtained during chewing the same food model. </w:t>
      </w:r>
      <w:r w:rsidR="001875FB">
        <w:rPr>
          <w:color w:val="000000"/>
          <w:sz w:val="24"/>
          <w:szCs w:val="27"/>
          <w:lang w:val="en-US"/>
        </w:rPr>
        <w:t xml:space="preserve">Normal masticatory sequences were </w:t>
      </w:r>
      <w:r w:rsidR="00AF48C1">
        <w:rPr>
          <w:color w:val="000000"/>
          <w:sz w:val="24"/>
          <w:szCs w:val="27"/>
          <w:lang w:val="en-US"/>
        </w:rPr>
        <w:t xml:space="preserve">experimentally stopped at different </w:t>
      </w:r>
      <w:r w:rsidR="008D62D6">
        <w:rPr>
          <w:color w:val="000000"/>
          <w:sz w:val="24"/>
          <w:szCs w:val="27"/>
          <w:lang w:val="en-US"/>
        </w:rPr>
        <w:t>stages</w:t>
      </w:r>
      <w:r w:rsidR="00AF48C1">
        <w:rPr>
          <w:color w:val="000000"/>
          <w:sz w:val="24"/>
          <w:szCs w:val="27"/>
          <w:lang w:val="en-US"/>
        </w:rPr>
        <w:t xml:space="preserve"> </w:t>
      </w:r>
      <w:r w:rsidR="001875FB">
        <w:rPr>
          <w:color w:val="000000"/>
          <w:sz w:val="24"/>
          <w:szCs w:val="27"/>
          <w:lang w:val="en-US"/>
        </w:rPr>
        <w:t xml:space="preserve">until </w:t>
      </w:r>
      <w:r w:rsidR="00881F1C">
        <w:rPr>
          <w:color w:val="000000"/>
          <w:sz w:val="24"/>
          <w:szCs w:val="27"/>
          <w:lang w:val="en-US"/>
        </w:rPr>
        <w:t xml:space="preserve">the swallowing point </w:t>
      </w:r>
      <w:r w:rsidR="00947E83">
        <w:rPr>
          <w:color w:val="000000"/>
          <w:sz w:val="24"/>
          <w:szCs w:val="27"/>
          <w:lang w:val="en-US"/>
        </w:rPr>
        <w:t>(after 1/3, after 2/3 and at the end of the complete masticatory sequence)</w:t>
      </w:r>
      <w:r w:rsidR="00FF3389">
        <w:rPr>
          <w:color w:val="000000"/>
          <w:sz w:val="24"/>
          <w:szCs w:val="27"/>
          <w:lang w:val="en-US"/>
        </w:rPr>
        <w:t>.</w:t>
      </w:r>
      <w:r w:rsidR="00AF48C1">
        <w:rPr>
          <w:color w:val="000000"/>
          <w:sz w:val="24"/>
          <w:szCs w:val="27"/>
          <w:lang w:val="en-US"/>
        </w:rPr>
        <w:t xml:space="preserve"> Frankfurters </w:t>
      </w:r>
      <w:r w:rsidR="008D62D6">
        <w:rPr>
          <w:color w:val="000000"/>
          <w:sz w:val="24"/>
          <w:szCs w:val="27"/>
          <w:lang w:val="en-US"/>
        </w:rPr>
        <w:t>samples</w:t>
      </w:r>
      <w:r w:rsidR="008328BC">
        <w:rPr>
          <w:color w:val="000000"/>
          <w:sz w:val="24"/>
          <w:szCs w:val="27"/>
          <w:lang w:val="en-US"/>
        </w:rPr>
        <w:t xml:space="preserve"> </w:t>
      </w:r>
      <w:r w:rsidR="007F4CC6">
        <w:rPr>
          <w:color w:val="000000"/>
          <w:sz w:val="24"/>
          <w:szCs w:val="27"/>
          <w:lang w:val="en-US"/>
        </w:rPr>
        <w:t xml:space="preserve">were prepared </w:t>
      </w:r>
      <w:r w:rsidR="0052455A">
        <w:rPr>
          <w:color w:val="000000"/>
          <w:sz w:val="24"/>
          <w:szCs w:val="27"/>
          <w:lang w:val="en-US"/>
        </w:rPr>
        <w:t xml:space="preserve">in cylindrical </w:t>
      </w:r>
      <w:r w:rsidR="008D62D6">
        <w:rPr>
          <w:color w:val="000000"/>
          <w:sz w:val="24"/>
          <w:szCs w:val="27"/>
          <w:lang w:val="en-US"/>
        </w:rPr>
        <w:t>shape</w:t>
      </w:r>
      <w:r w:rsidR="0052455A">
        <w:rPr>
          <w:color w:val="000000"/>
          <w:sz w:val="24"/>
          <w:szCs w:val="27"/>
          <w:lang w:val="en-US"/>
        </w:rPr>
        <w:t xml:space="preserve"> (6.5 ± 0.2 g).</w:t>
      </w:r>
      <w:r w:rsidR="007F4CC6">
        <w:rPr>
          <w:color w:val="000000"/>
          <w:sz w:val="24"/>
          <w:szCs w:val="27"/>
          <w:lang w:val="en-US"/>
        </w:rPr>
        <w:t xml:space="preserve"> </w:t>
      </w:r>
      <w:r w:rsidR="008340A1">
        <w:rPr>
          <w:color w:val="000000"/>
          <w:sz w:val="24"/>
          <w:szCs w:val="27"/>
          <w:lang w:val="en-US"/>
        </w:rPr>
        <w:t xml:space="preserve">After liquid-solid phase separation, boluses were </w:t>
      </w:r>
      <w:r w:rsidR="00881F1C">
        <w:rPr>
          <w:color w:val="000000"/>
          <w:sz w:val="24"/>
          <w:szCs w:val="27"/>
          <w:lang w:val="en-US"/>
        </w:rPr>
        <w:t>analyzed</w:t>
      </w:r>
      <w:r w:rsidR="008340A1">
        <w:rPr>
          <w:color w:val="000000"/>
          <w:sz w:val="24"/>
          <w:szCs w:val="27"/>
          <w:lang w:val="en-US"/>
        </w:rPr>
        <w:t xml:space="preserve"> for physical (granulometry, rheological behavior) and chemical (protein/lipid oxidation, iron/peptides release in liquid phase) characteristics. </w:t>
      </w:r>
    </w:p>
    <w:p w:rsidR="00E6455D" w:rsidRDefault="007B54F9" w:rsidP="00E73098">
      <w:pPr>
        <w:jc w:val="both"/>
        <w:rPr>
          <w:color w:val="000000"/>
          <w:sz w:val="24"/>
          <w:szCs w:val="27"/>
          <w:lang w:val="en-US"/>
        </w:rPr>
      </w:pPr>
      <w:r>
        <w:rPr>
          <w:color w:val="000000"/>
          <w:sz w:val="24"/>
          <w:szCs w:val="27"/>
          <w:lang w:val="en-US"/>
        </w:rPr>
        <w:t xml:space="preserve">From the beginning to the end of </w:t>
      </w:r>
      <w:r w:rsidR="00BC25F1">
        <w:rPr>
          <w:color w:val="000000"/>
          <w:sz w:val="24"/>
          <w:szCs w:val="27"/>
          <w:lang w:val="en-US"/>
        </w:rPr>
        <w:t>mastication</w:t>
      </w:r>
      <w:r>
        <w:rPr>
          <w:color w:val="000000"/>
          <w:sz w:val="24"/>
          <w:szCs w:val="27"/>
          <w:lang w:val="en-US"/>
        </w:rPr>
        <w:t>, median particle size decreased</w:t>
      </w:r>
      <w:r w:rsidR="0052455A">
        <w:rPr>
          <w:color w:val="000000"/>
          <w:sz w:val="24"/>
          <w:szCs w:val="27"/>
          <w:lang w:val="en-US"/>
        </w:rPr>
        <w:t xml:space="preserve"> from </w:t>
      </w:r>
      <w:r w:rsidR="009B57FC">
        <w:rPr>
          <w:color w:val="000000"/>
          <w:sz w:val="24"/>
          <w:szCs w:val="27"/>
          <w:lang w:val="en-US"/>
        </w:rPr>
        <w:t>9.38 ± 2.64 mm after 1/3 of the masticatory sequence to 5.02 ± 0.51 mm in the swallowable bolus</w:t>
      </w:r>
      <w:r>
        <w:rPr>
          <w:color w:val="000000"/>
          <w:sz w:val="24"/>
          <w:szCs w:val="27"/>
          <w:lang w:val="en-US"/>
        </w:rPr>
        <w:t xml:space="preserve">.  </w:t>
      </w:r>
      <w:r w:rsidR="00E1633F">
        <w:rPr>
          <w:color w:val="000000"/>
          <w:sz w:val="24"/>
          <w:szCs w:val="27"/>
          <w:lang w:val="en-US"/>
        </w:rPr>
        <w:t>At the same time</w:t>
      </w:r>
      <w:r>
        <w:rPr>
          <w:color w:val="000000"/>
          <w:sz w:val="24"/>
          <w:szCs w:val="27"/>
          <w:lang w:val="en-US"/>
        </w:rPr>
        <w:t xml:space="preserve">, </w:t>
      </w:r>
      <w:r w:rsidR="009B57FC">
        <w:rPr>
          <w:color w:val="000000"/>
          <w:sz w:val="24"/>
          <w:szCs w:val="27"/>
          <w:lang w:val="en-US"/>
        </w:rPr>
        <w:t xml:space="preserve">the Frankfurter </w:t>
      </w:r>
      <w:r>
        <w:rPr>
          <w:color w:val="000000"/>
          <w:sz w:val="24"/>
          <w:szCs w:val="27"/>
          <w:lang w:val="en-US"/>
        </w:rPr>
        <w:t>food bolus became softer</w:t>
      </w:r>
      <w:r w:rsidR="00E7068F">
        <w:rPr>
          <w:color w:val="000000"/>
          <w:sz w:val="24"/>
          <w:szCs w:val="27"/>
          <w:lang w:val="en-US"/>
        </w:rPr>
        <w:t xml:space="preserve">, </w:t>
      </w:r>
      <w:r>
        <w:rPr>
          <w:color w:val="000000"/>
          <w:sz w:val="24"/>
          <w:szCs w:val="27"/>
          <w:lang w:val="en-US"/>
        </w:rPr>
        <w:t xml:space="preserve">stickier, </w:t>
      </w:r>
      <w:r w:rsidR="009B57FC">
        <w:rPr>
          <w:color w:val="000000"/>
          <w:sz w:val="24"/>
          <w:szCs w:val="27"/>
          <w:lang w:val="en-US"/>
        </w:rPr>
        <w:t xml:space="preserve">and </w:t>
      </w:r>
      <w:r>
        <w:rPr>
          <w:color w:val="000000"/>
          <w:sz w:val="24"/>
          <w:szCs w:val="27"/>
          <w:lang w:val="en-US"/>
        </w:rPr>
        <w:t>less cohesive and elastic.</w:t>
      </w:r>
      <w:r w:rsidR="00E7068F">
        <w:rPr>
          <w:color w:val="000000"/>
          <w:sz w:val="24"/>
          <w:szCs w:val="27"/>
          <w:lang w:val="en-US"/>
        </w:rPr>
        <w:t xml:space="preserve"> </w:t>
      </w:r>
      <w:r w:rsidR="00221D58">
        <w:rPr>
          <w:color w:val="000000"/>
          <w:sz w:val="24"/>
          <w:szCs w:val="27"/>
          <w:lang w:val="en-US"/>
        </w:rPr>
        <w:t>T</w:t>
      </w:r>
      <w:r w:rsidR="00F24A6D">
        <w:rPr>
          <w:color w:val="000000"/>
          <w:sz w:val="24"/>
          <w:szCs w:val="27"/>
          <w:lang w:val="en-US"/>
        </w:rPr>
        <w:t xml:space="preserve">he release of free-iron and peptides in the liquid phase </w:t>
      </w:r>
      <w:r w:rsidR="00221D58">
        <w:rPr>
          <w:color w:val="000000"/>
          <w:sz w:val="24"/>
          <w:szCs w:val="27"/>
          <w:lang w:val="en-US"/>
        </w:rPr>
        <w:t xml:space="preserve">significantly increased </w:t>
      </w:r>
      <w:r w:rsidR="009E0BD0">
        <w:rPr>
          <w:color w:val="000000"/>
          <w:sz w:val="24"/>
          <w:szCs w:val="27"/>
          <w:lang w:val="en-US"/>
        </w:rPr>
        <w:t xml:space="preserve">(63% and 16% respectively) from the first third of masticatory sequence to the masticatory endpoint </w:t>
      </w:r>
      <w:r w:rsidR="00F24A6D">
        <w:rPr>
          <w:color w:val="000000"/>
          <w:sz w:val="24"/>
          <w:szCs w:val="27"/>
          <w:lang w:val="en-US"/>
        </w:rPr>
        <w:t xml:space="preserve">due to </w:t>
      </w:r>
      <w:r w:rsidR="00221D58">
        <w:rPr>
          <w:color w:val="000000"/>
          <w:sz w:val="24"/>
          <w:szCs w:val="27"/>
          <w:lang w:val="en-US"/>
        </w:rPr>
        <w:t xml:space="preserve">progressive </w:t>
      </w:r>
      <w:r w:rsidR="00F24A6D">
        <w:rPr>
          <w:color w:val="000000"/>
          <w:sz w:val="24"/>
          <w:szCs w:val="27"/>
          <w:lang w:val="en-US"/>
        </w:rPr>
        <w:t>matrix disintegration</w:t>
      </w:r>
      <w:r w:rsidR="00E6455D">
        <w:rPr>
          <w:color w:val="000000"/>
          <w:sz w:val="24"/>
          <w:szCs w:val="27"/>
          <w:lang w:val="en-US"/>
        </w:rPr>
        <w:t>. Protein oxidation also significantly increased in liquid phase of the bolus</w:t>
      </w:r>
      <w:r w:rsidR="009E0BD0">
        <w:rPr>
          <w:color w:val="000000"/>
          <w:sz w:val="24"/>
          <w:szCs w:val="27"/>
          <w:lang w:val="en-US"/>
        </w:rPr>
        <w:t xml:space="preserve"> of Frankfurter model</w:t>
      </w:r>
      <w:r w:rsidR="00E6455D">
        <w:rPr>
          <w:color w:val="000000"/>
          <w:sz w:val="24"/>
          <w:szCs w:val="27"/>
          <w:lang w:val="en-US"/>
        </w:rPr>
        <w:t>.</w:t>
      </w:r>
    </w:p>
    <w:p w:rsidR="00F24A6D" w:rsidRDefault="00E6455D" w:rsidP="00E73098">
      <w:pPr>
        <w:jc w:val="both"/>
        <w:rPr>
          <w:color w:val="000000"/>
          <w:sz w:val="24"/>
          <w:szCs w:val="27"/>
          <w:lang w:val="en-US"/>
        </w:rPr>
      </w:pPr>
      <w:r>
        <w:rPr>
          <w:color w:val="000000"/>
          <w:sz w:val="24"/>
          <w:szCs w:val="27"/>
          <w:lang w:val="en-US"/>
        </w:rPr>
        <w:t xml:space="preserve">This work highlighted significant changes in physical and chemical characteristics of food bolus </w:t>
      </w:r>
      <w:r w:rsidR="00120E28">
        <w:rPr>
          <w:color w:val="000000"/>
          <w:sz w:val="24"/>
          <w:szCs w:val="27"/>
          <w:lang w:val="en-US"/>
        </w:rPr>
        <w:t>throughout the masticatory sequence conferring emphasis on food matrix disruption and potential consequences</w:t>
      </w:r>
      <w:r w:rsidR="009E0BD0">
        <w:rPr>
          <w:color w:val="000000"/>
          <w:sz w:val="24"/>
          <w:szCs w:val="27"/>
          <w:lang w:val="en-US"/>
        </w:rPr>
        <w:t xml:space="preserve"> </w:t>
      </w:r>
      <w:r w:rsidR="00E7068F">
        <w:rPr>
          <w:color w:val="000000"/>
          <w:sz w:val="24"/>
          <w:szCs w:val="27"/>
          <w:lang w:val="en-US"/>
        </w:rPr>
        <w:t xml:space="preserve">to be considered </w:t>
      </w:r>
      <w:r w:rsidR="00956F4A">
        <w:rPr>
          <w:color w:val="000000"/>
          <w:sz w:val="24"/>
          <w:szCs w:val="27"/>
          <w:lang w:val="en-US"/>
        </w:rPr>
        <w:t>both in terms of physical passage during swallowing and bioaccessibility of nutrients</w:t>
      </w:r>
      <w:r w:rsidR="009E0BD0">
        <w:rPr>
          <w:color w:val="000000"/>
          <w:sz w:val="24"/>
          <w:szCs w:val="27"/>
          <w:lang w:val="en-US"/>
        </w:rPr>
        <w:t xml:space="preserve"> </w:t>
      </w:r>
      <w:r w:rsidR="000F4CD7">
        <w:rPr>
          <w:color w:val="000000"/>
          <w:sz w:val="24"/>
          <w:szCs w:val="27"/>
          <w:lang w:val="en-US"/>
        </w:rPr>
        <w:t xml:space="preserve">for example </w:t>
      </w:r>
      <w:r w:rsidR="009E0BD0">
        <w:rPr>
          <w:color w:val="000000"/>
          <w:sz w:val="24"/>
          <w:szCs w:val="27"/>
          <w:lang w:val="en-US"/>
        </w:rPr>
        <w:t xml:space="preserve">in case of impairment of </w:t>
      </w:r>
      <w:r w:rsidR="000F4CD7">
        <w:rPr>
          <w:color w:val="000000"/>
          <w:sz w:val="24"/>
          <w:szCs w:val="27"/>
          <w:lang w:val="en-US"/>
        </w:rPr>
        <w:t xml:space="preserve">this </w:t>
      </w:r>
      <w:r w:rsidR="009E0BD0">
        <w:rPr>
          <w:color w:val="000000"/>
          <w:sz w:val="24"/>
          <w:szCs w:val="27"/>
          <w:lang w:val="en-US"/>
        </w:rPr>
        <w:t>oral</w:t>
      </w:r>
      <w:r w:rsidR="000C7DA3">
        <w:rPr>
          <w:color w:val="000000"/>
          <w:sz w:val="24"/>
          <w:szCs w:val="27"/>
          <w:lang w:val="en-US"/>
        </w:rPr>
        <w:t xml:space="preserve"> stage.</w:t>
      </w:r>
    </w:p>
    <w:sectPr w:rsidR="00F2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8"/>
    <w:rsid w:val="00045BFD"/>
    <w:rsid w:val="000C7DA3"/>
    <w:rsid w:val="000F4CD7"/>
    <w:rsid w:val="00120E28"/>
    <w:rsid w:val="001875FB"/>
    <w:rsid w:val="001C0610"/>
    <w:rsid w:val="00221D58"/>
    <w:rsid w:val="00370CEA"/>
    <w:rsid w:val="0049491A"/>
    <w:rsid w:val="0052455A"/>
    <w:rsid w:val="005667B3"/>
    <w:rsid w:val="006C433B"/>
    <w:rsid w:val="0070391E"/>
    <w:rsid w:val="00795F7F"/>
    <w:rsid w:val="007B54F9"/>
    <w:rsid w:val="007F4CC6"/>
    <w:rsid w:val="00831107"/>
    <w:rsid w:val="008328BC"/>
    <w:rsid w:val="008340A1"/>
    <w:rsid w:val="00881F1C"/>
    <w:rsid w:val="008A13EA"/>
    <w:rsid w:val="008D62D6"/>
    <w:rsid w:val="00947E83"/>
    <w:rsid w:val="0095572F"/>
    <w:rsid w:val="00956F4A"/>
    <w:rsid w:val="00997085"/>
    <w:rsid w:val="009B57FC"/>
    <w:rsid w:val="009E0BD0"/>
    <w:rsid w:val="00A324B3"/>
    <w:rsid w:val="00A510D6"/>
    <w:rsid w:val="00A77666"/>
    <w:rsid w:val="00AF48C1"/>
    <w:rsid w:val="00B22D91"/>
    <w:rsid w:val="00B61A6D"/>
    <w:rsid w:val="00B87635"/>
    <w:rsid w:val="00BA55F3"/>
    <w:rsid w:val="00BC25F1"/>
    <w:rsid w:val="00D04568"/>
    <w:rsid w:val="00D70BAE"/>
    <w:rsid w:val="00DB2560"/>
    <w:rsid w:val="00E1633F"/>
    <w:rsid w:val="00E3454D"/>
    <w:rsid w:val="00E6455D"/>
    <w:rsid w:val="00E7068F"/>
    <w:rsid w:val="00E73098"/>
    <w:rsid w:val="00F066B4"/>
    <w:rsid w:val="00F24A6D"/>
    <w:rsid w:val="00F33348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30E6-132C-4F49-A979-761821F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045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mapeyron</dc:creator>
  <cp:lastModifiedBy>vsante</cp:lastModifiedBy>
  <cp:revision>2</cp:revision>
  <cp:lastPrinted>2016-02-29T08:03:00Z</cp:lastPrinted>
  <dcterms:created xsi:type="dcterms:W3CDTF">2016-06-15T06:44:00Z</dcterms:created>
  <dcterms:modified xsi:type="dcterms:W3CDTF">2016-06-15T06:44:00Z</dcterms:modified>
</cp:coreProperties>
</file>