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24" w:rsidRDefault="000B7124" w:rsidP="000B7124">
      <w:pPr>
        <w:pStyle w:val="Default"/>
        <w:tabs>
          <w:tab w:val="left" w:pos="1276"/>
        </w:tabs>
        <w:jc w:val="both"/>
        <w:rPr>
          <w:b/>
          <w:bCs/>
          <w:sz w:val="28"/>
          <w:szCs w:val="28"/>
          <w:lang w:val="en-US"/>
        </w:rPr>
      </w:pPr>
      <w:bookmarkStart w:id="0" w:name="_GoBack"/>
      <w:bookmarkEnd w:id="0"/>
      <w:r w:rsidRPr="00087E74">
        <w:rPr>
          <w:b/>
          <w:bCs/>
          <w:sz w:val="28"/>
          <w:szCs w:val="28"/>
          <w:lang w:val="en-US"/>
        </w:rPr>
        <w:t xml:space="preserve">Isotopic N fractionation as a biomarker of nitrogen use efficiency </w:t>
      </w:r>
      <w:r w:rsidR="00E60788">
        <w:rPr>
          <w:b/>
          <w:bCs/>
          <w:sz w:val="28"/>
          <w:szCs w:val="28"/>
          <w:lang w:val="en-US"/>
        </w:rPr>
        <w:t xml:space="preserve">by </w:t>
      </w:r>
      <w:r w:rsidRPr="00087E74">
        <w:rPr>
          <w:b/>
          <w:bCs/>
          <w:sz w:val="28"/>
          <w:szCs w:val="28"/>
          <w:lang w:val="en-US"/>
        </w:rPr>
        <w:t>ruminants: A</w:t>
      </w:r>
      <w:r>
        <w:rPr>
          <w:b/>
          <w:bCs/>
          <w:sz w:val="28"/>
          <w:szCs w:val="28"/>
          <w:lang w:val="en-US"/>
        </w:rPr>
        <w:t xml:space="preserve"> meta</w:t>
      </w:r>
      <w:r w:rsidR="009531B7">
        <w:rPr>
          <w:b/>
          <w:bCs/>
          <w:sz w:val="28"/>
          <w:szCs w:val="28"/>
          <w:lang w:val="en-US"/>
        </w:rPr>
        <w:t>-</w:t>
      </w:r>
      <w:r w:rsidR="00E60788">
        <w:rPr>
          <w:b/>
          <w:bCs/>
          <w:sz w:val="28"/>
          <w:szCs w:val="28"/>
          <w:lang w:val="en-US"/>
        </w:rPr>
        <w:t>a</w:t>
      </w:r>
      <w:r>
        <w:rPr>
          <w:b/>
          <w:bCs/>
          <w:sz w:val="28"/>
          <w:szCs w:val="28"/>
          <w:lang w:val="en-US"/>
        </w:rPr>
        <w:t>nalysis</w:t>
      </w:r>
    </w:p>
    <w:p w:rsidR="00261768" w:rsidRDefault="00261768" w:rsidP="000B7124">
      <w:pPr>
        <w:pStyle w:val="Default"/>
        <w:tabs>
          <w:tab w:val="left" w:pos="1276"/>
        </w:tabs>
        <w:jc w:val="both"/>
        <w:rPr>
          <w:b/>
          <w:bCs/>
          <w:sz w:val="28"/>
          <w:szCs w:val="28"/>
          <w:lang w:val="en-US"/>
        </w:rPr>
      </w:pPr>
    </w:p>
    <w:p w:rsidR="000B7124" w:rsidRPr="00261768" w:rsidRDefault="000B7124" w:rsidP="000B7124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E3481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G. Cantalapiedra-Hijar</w:t>
      </w:r>
      <w:r w:rsidRPr="00E34814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en-US"/>
        </w:rPr>
        <w:t>1</w:t>
      </w:r>
      <w:r w:rsidRPr="00E3481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 R</w:t>
      </w:r>
      <w:r w:rsidR="00E60788" w:rsidRPr="00E3481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.J</w:t>
      </w:r>
      <w:r w:rsidRPr="00E3481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. </w:t>
      </w:r>
      <w:r w:rsidR="0041453F" w:rsidRPr="00F261F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Dewhurst</w:t>
      </w:r>
      <w:r w:rsidR="0041453F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en-US"/>
        </w:rPr>
        <w:t>2</w:t>
      </w:r>
      <w:r w:rsidRPr="00F261F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 L. Cheng</w:t>
      </w:r>
      <w:r w:rsidR="00F5426A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en-US"/>
        </w:rPr>
        <w:t>3</w:t>
      </w:r>
      <w:r w:rsidRPr="00F261F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 A.R.J. Cabrita</w:t>
      </w:r>
      <w:r w:rsidR="0041453F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en-US"/>
        </w:rPr>
        <w:t>4</w:t>
      </w:r>
      <w:r w:rsidRPr="00F261F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 A.</w:t>
      </w:r>
      <w:r w:rsidR="00E60788" w:rsidRPr="00F261F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J.M.</w:t>
      </w:r>
      <w:r w:rsidRPr="00F261F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Fonseca</w:t>
      </w:r>
      <w:r w:rsidR="0041453F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en-US"/>
        </w:rPr>
        <w:t>4</w:t>
      </w:r>
      <w:r w:rsidRPr="00F261F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 H. Fouillet</w:t>
      </w:r>
      <w:r w:rsidR="0041453F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en-US"/>
        </w:rPr>
        <w:t>5</w:t>
      </w:r>
      <w:proofErr w:type="gramStart"/>
      <w:r w:rsidRPr="00F261F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  P</w:t>
      </w:r>
      <w:proofErr w:type="gramEnd"/>
      <w:r w:rsidRPr="00F261F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. Nozière</w:t>
      </w:r>
      <w:r w:rsidRPr="00F261F6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en-US"/>
        </w:rPr>
        <w:t>1</w:t>
      </w:r>
      <w:r w:rsidRPr="00F261F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and I. Ortigues-Marty</w:t>
      </w:r>
      <w:r w:rsidRPr="00F261F6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en-US"/>
        </w:rPr>
        <w:t>1</w:t>
      </w:r>
    </w:p>
    <w:p w:rsidR="0041453F" w:rsidRPr="00F261F6" w:rsidRDefault="000B7124" w:rsidP="000B71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261F6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1</w:t>
      </w:r>
      <w:r w:rsidR="00402861">
        <w:rPr>
          <w:rFonts w:ascii="Times New Roman" w:hAnsi="Times New Roman" w:cs="Times New Roman"/>
          <w:i/>
          <w:sz w:val="24"/>
          <w:szCs w:val="24"/>
          <w:lang w:val="en-US"/>
        </w:rPr>
        <w:t>INRA, U</w:t>
      </w:r>
      <w:r w:rsidRPr="00F261F6">
        <w:rPr>
          <w:rFonts w:ascii="Times New Roman" w:hAnsi="Times New Roman" w:cs="Times New Roman"/>
          <w:i/>
          <w:sz w:val="24"/>
          <w:szCs w:val="24"/>
          <w:lang w:val="en-US"/>
        </w:rPr>
        <w:t>MR</w:t>
      </w:r>
      <w:r w:rsidR="004028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1213 Herbivores</w:t>
      </w:r>
      <w:r w:rsidR="00454861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4028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261F6">
        <w:rPr>
          <w:rFonts w:ascii="Times New Roman" w:hAnsi="Times New Roman" w:cs="Times New Roman"/>
          <w:i/>
          <w:sz w:val="24"/>
          <w:szCs w:val="24"/>
          <w:lang w:val="en-US"/>
        </w:rPr>
        <w:t xml:space="preserve">63122 St </w:t>
      </w:r>
      <w:proofErr w:type="spellStart"/>
      <w:r w:rsidRPr="00F261F6">
        <w:rPr>
          <w:rFonts w:ascii="Times New Roman" w:hAnsi="Times New Roman" w:cs="Times New Roman"/>
          <w:i/>
          <w:sz w:val="24"/>
          <w:szCs w:val="24"/>
          <w:lang w:val="en-US"/>
        </w:rPr>
        <w:t>Genès</w:t>
      </w:r>
      <w:proofErr w:type="spellEnd"/>
      <w:r w:rsidRPr="00F261F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261F6">
        <w:rPr>
          <w:rFonts w:ascii="Times New Roman" w:hAnsi="Times New Roman" w:cs="Times New Roman"/>
          <w:i/>
          <w:sz w:val="24"/>
          <w:szCs w:val="24"/>
          <w:lang w:val="en-US"/>
        </w:rPr>
        <w:t>Champanelle</w:t>
      </w:r>
      <w:proofErr w:type="spellEnd"/>
      <w:r w:rsidRPr="00F261F6">
        <w:rPr>
          <w:rFonts w:ascii="Times New Roman" w:hAnsi="Times New Roman" w:cs="Times New Roman"/>
          <w:i/>
          <w:sz w:val="24"/>
          <w:szCs w:val="24"/>
          <w:lang w:val="en-US"/>
        </w:rPr>
        <w:t>, France.</w:t>
      </w:r>
      <w:proofErr w:type="gramEnd"/>
      <w:r w:rsidRPr="00F261F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1453F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Pr="00F261F6">
        <w:rPr>
          <w:rFonts w:ascii="Times New Roman" w:hAnsi="Times New Roman" w:cs="Times New Roman"/>
          <w:i/>
          <w:sz w:val="24"/>
          <w:szCs w:val="24"/>
          <w:lang w:val="en-US"/>
        </w:rPr>
        <w:t xml:space="preserve">Scotland’s Rural College, Edinburgh EH9 3JG, U.K. </w:t>
      </w:r>
      <w:r w:rsidR="0041453F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3</w:t>
      </w:r>
      <w:r w:rsidR="0041453F" w:rsidRPr="00F261F6">
        <w:rPr>
          <w:rFonts w:ascii="Times New Roman" w:hAnsi="Times New Roman" w:cs="Times New Roman"/>
          <w:i/>
          <w:sz w:val="24"/>
          <w:szCs w:val="24"/>
          <w:lang w:val="en-US"/>
        </w:rPr>
        <w:t xml:space="preserve">Faculty </w:t>
      </w:r>
      <w:r w:rsidRPr="00F261F6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Agriculture and Life Sciences, Lincoln University, New Zealand. </w:t>
      </w:r>
      <w:r w:rsidR="0041453F" w:rsidRPr="00F261F6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Pr="00F261F6">
        <w:rPr>
          <w:rFonts w:ascii="Times New Roman" w:hAnsi="Times New Roman" w:cs="Times New Roman"/>
          <w:i/>
          <w:sz w:val="24"/>
          <w:szCs w:val="24"/>
        </w:rPr>
        <w:t xml:space="preserve">REQUIMTE, LAQV, </w:t>
      </w:r>
      <w:proofErr w:type="spellStart"/>
      <w:r w:rsidRPr="00F261F6">
        <w:rPr>
          <w:rFonts w:ascii="Times New Roman" w:hAnsi="Times New Roman" w:cs="Times New Roman"/>
          <w:i/>
          <w:sz w:val="24"/>
          <w:szCs w:val="24"/>
        </w:rPr>
        <w:t>Universidade</w:t>
      </w:r>
      <w:proofErr w:type="spellEnd"/>
      <w:r w:rsidRPr="00F261F6">
        <w:rPr>
          <w:rFonts w:ascii="Times New Roman" w:hAnsi="Times New Roman" w:cs="Times New Roman"/>
          <w:i/>
          <w:sz w:val="24"/>
          <w:szCs w:val="24"/>
        </w:rPr>
        <w:t xml:space="preserve"> do Porto, 4050-313 Porto, Portugal </w:t>
      </w:r>
      <w:r w:rsidR="0041453F" w:rsidRPr="00F261F6">
        <w:rPr>
          <w:rFonts w:ascii="Times New Roman" w:hAnsi="Times New Roman" w:cs="Times New Roman"/>
          <w:i/>
          <w:sz w:val="24"/>
          <w:szCs w:val="24"/>
          <w:vertAlign w:val="superscript"/>
        </w:rPr>
        <w:t>5</w:t>
      </w:r>
      <w:r w:rsidR="009F4D0C">
        <w:rPr>
          <w:rFonts w:ascii="Times New Roman" w:hAnsi="Times New Roman" w:cs="Times New Roman"/>
          <w:i/>
          <w:sz w:val="24"/>
          <w:szCs w:val="24"/>
        </w:rPr>
        <w:t>INRA, U</w:t>
      </w:r>
      <w:r w:rsidRPr="00F261F6">
        <w:rPr>
          <w:rFonts w:ascii="Times New Roman" w:hAnsi="Times New Roman" w:cs="Times New Roman"/>
          <w:i/>
          <w:sz w:val="24"/>
          <w:szCs w:val="24"/>
        </w:rPr>
        <w:t xml:space="preserve">MR </w:t>
      </w:r>
      <w:r w:rsidR="00402861" w:rsidRPr="00F261F6">
        <w:rPr>
          <w:rFonts w:ascii="Times New Roman" w:hAnsi="Times New Roman" w:cs="Times New Roman"/>
          <w:i/>
          <w:sz w:val="24"/>
          <w:szCs w:val="24"/>
        </w:rPr>
        <w:t>9</w:t>
      </w:r>
      <w:r w:rsidR="00402861">
        <w:rPr>
          <w:rFonts w:ascii="Times New Roman" w:hAnsi="Times New Roman" w:cs="Times New Roman"/>
          <w:i/>
          <w:sz w:val="24"/>
          <w:szCs w:val="24"/>
        </w:rPr>
        <w:t xml:space="preserve">14 </w:t>
      </w:r>
      <w:r w:rsidR="00454861">
        <w:rPr>
          <w:rFonts w:ascii="Times New Roman" w:hAnsi="Times New Roman" w:cs="Times New Roman"/>
          <w:i/>
          <w:sz w:val="24"/>
          <w:szCs w:val="24"/>
        </w:rPr>
        <w:t xml:space="preserve">PNCA </w:t>
      </w:r>
      <w:r w:rsidR="00402861">
        <w:rPr>
          <w:rFonts w:ascii="Times New Roman" w:hAnsi="Times New Roman" w:cs="Times New Roman"/>
          <w:i/>
          <w:sz w:val="24"/>
          <w:szCs w:val="24"/>
        </w:rPr>
        <w:t>INRA-</w:t>
      </w:r>
      <w:proofErr w:type="spellStart"/>
      <w:r w:rsidRPr="00F261F6">
        <w:rPr>
          <w:rFonts w:ascii="Times New Roman" w:hAnsi="Times New Roman" w:cs="Times New Roman"/>
          <w:i/>
          <w:sz w:val="24"/>
          <w:szCs w:val="24"/>
        </w:rPr>
        <w:t>AgroParisTech</w:t>
      </w:r>
      <w:proofErr w:type="spellEnd"/>
      <w:r w:rsidRPr="00F261F6">
        <w:rPr>
          <w:rFonts w:ascii="Times New Roman" w:hAnsi="Times New Roman" w:cs="Times New Roman"/>
          <w:i/>
          <w:sz w:val="24"/>
          <w:szCs w:val="24"/>
        </w:rPr>
        <w:t xml:space="preserve">, F-75005 Paris, France </w:t>
      </w:r>
    </w:p>
    <w:p w:rsidR="000B7124" w:rsidRPr="00F261F6" w:rsidRDefault="00AF3AC1" w:rsidP="000B71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7" w:history="1">
        <w:r w:rsidR="000B7124" w:rsidRPr="00F261F6">
          <w:rPr>
            <w:rStyle w:val="Lienhypertexte"/>
            <w:rFonts w:ascii="Times New Roman" w:hAnsi="Times New Roman" w:cs="Times New Roman"/>
            <w:i/>
            <w:sz w:val="24"/>
            <w:szCs w:val="24"/>
          </w:rPr>
          <w:t>gonzalo.cantalapiedra@clermont.inra.fr</w:t>
        </w:r>
      </w:hyperlink>
    </w:p>
    <w:p w:rsidR="000B7124" w:rsidRPr="00F261F6" w:rsidRDefault="000B7124" w:rsidP="000B7124">
      <w:pPr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:rsidR="000B7124" w:rsidRPr="00F261F6" w:rsidRDefault="000B7124" w:rsidP="000B71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3"/>
        </w:rPr>
      </w:pPr>
      <w:proofErr w:type="spellStart"/>
      <w:r w:rsidRPr="00F261F6">
        <w:rPr>
          <w:rFonts w:ascii="Times New Roman" w:hAnsi="Times New Roman" w:cs="Times New Roman"/>
          <w:b/>
          <w:bCs/>
          <w:sz w:val="24"/>
          <w:szCs w:val="23"/>
        </w:rPr>
        <w:t>Abstract</w:t>
      </w:r>
      <w:proofErr w:type="spellEnd"/>
      <w:r w:rsidRPr="00F261F6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</w:p>
    <w:p w:rsidR="000B7124" w:rsidRPr="00E120F7" w:rsidRDefault="003F52AE" w:rsidP="000B7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  <w:lang w:val="en-US"/>
        </w:rPr>
      </w:pPr>
      <w:r>
        <w:rPr>
          <w:rFonts w:ascii="Times New Roman" w:hAnsi="Times New Roman" w:cs="Times New Roman"/>
          <w:sz w:val="24"/>
          <w:szCs w:val="18"/>
          <w:lang w:val="en-US"/>
        </w:rPr>
        <w:t>We</w:t>
      </w:r>
      <w:r w:rsidR="000B7124" w:rsidRPr="00E120F7">
        <w:rPr>
          <w:rFonts w:ascii="Times New Roman" w:hAnsi="Times New Roman" w:cs="Times New Roman"/>
          <w:sz w:val="24"/>
          <w:szCs w:val="18"/>
          <w:lang w:val="en-US"/>
        </w:rPr>
        <w:t xml:space="preserve"> evaluate</w:t>
      </w:r>
      <w:r>
        <w:rPr>
          <w:rFonts w:ascii="Times New Roman" w:hAnsi="Times New Roman" w:cs="Times New Roman"/>
          <w:sz w:val="24"/>
          <w:szCs w:val="18"/>
          <w:lang w:val="en-US"/>
        </w:rPr>
        <w:t>d</w:t>
      </w:r>
      <w:r w:rsidR="00454861">
        <w:rPr>
          <w:rFonts w:ascii="Times New Roman" w:hAnsi="Times New Roman" w:cs="Times New Roman"/>
          <w:sz w:val="24"/>
          <w:szCs w:val="18"/>
          <w:lang w:val="en-US"/>
        </w:rPr>
        <w:t xml:space="preserve"> the</w:t>
      </w:r>
      <w:r w:rsidR="000B7124">
        <w:rPr>
          <w:rFonts w:ascii="Times New Roman" w:hAnsi="Times New Roman" w:cs="Times New Roman"/>
          <w:sz w:val="24"/>
          <w:szCs w:val="18"/>
          <w:lang w:val="en-US"/>
        </w:rPr>
        <w:t xml:space="preserve"> potential </w:t>
      </w:r>
      <w:r w:rsidR="00E60788">
        <w:rPr>
          <w:rFonts w:ascii="Times New Roman" w:hAnsi="Times New Roman" w:cs="Times New Roman"/>
          <w:sz w:val="24"/>
          <w:szCs w:val="18"/>
          <w:lang w:val="en-US"/>
        </w:rPr>
        <w:t>to use</w:t>
      </w:r>
      <w:r w:rsidR="000B7124">
        <w:rPr>
          <w:rFonts w:ascii="Times New Roman" w:hAnsi="Times New Roman" w:cs="Times New Roman"/>
          <w:sz w:val="24"/>
          <w:szCs w:val="18"/>
          <w:lang w:val="en-US"/>
        </w:rPr>
        <w:t xml:space="preserve"> the naturally occurring isotopic N fractionation between </w:t>
      </w:r>
      <w:r w:rsidR="00552C7C">
        <w:rPr>
          <w:rFonts w:ascii="Times New Roman" w:hAnsi="Times New Roman" w:cs="Times New Roman"/>
          <w:sz w:val="24"/>
          <w:szCs w:val="18"/>
          <w:lang w:val="en-US"/>
        </w:rPr>
        <w:t xml:space="preserve">plasma or milk of </w:t>
      </w:r>
      <w:r w:rsidR="000B7124">
        <w:rPr>
          <w:rFonts w:ascii="Times New Roman" w:hAnsi="Times New Roman" w:cs="Times New Roman"/>
          <w:sz w:val="24"/>
          <w:szCs w:val="18"/>
          <w:lang w:val="en-US"/>
        </w:rPr>
        <w:t>ruminant</w:t>
      </w:r>
      <w:r w:rsidR="00E60788">
        <w:rPr>
          <w:rFonts w:ascii="Times New Roman" w:hAnsi="Times New Roman" w:cs="Times New Roman"/>
          <w:sz w:val="24"/>
          <w:szCs w:val="18"/>
          <w:lang w:val="en-US"/>
        </w:rPr>
        <w:t>s</w:t>
      </w:r>
      <w:r w:rsidR="000B7124">
        <w:rPr>
          <w:rFonts w:ascii="Times New Roman" w:hAnsi="Times New Roman" w:cs="Times New Roman"/>
          <w:sz w:val="24"/>
          <w:szCs w:val="18"/>
          <w:lang w:val="en-US"/>
        </w:rPr>
        <w:t xml:space="preserve"> and </w:t>
      </w:r>
      <w:r w:rsidR="00E60788">
        <w:rPr>
          <w:rFonts w:ascii="Times New Roman" w:hAnsi="Times New Roman" w:cs="Times New Roman"/>
          <w:sz w:val="24"/>
          <w:szCs w:val="18"/>
          <w:lang w:val="en-US"/>
        </w:rPr>
        <w:t xml:space="preserve">their </w:t>
      </w:r>
      <w:r w:rsidR="000B7124">
        <w:rPr>
          <w:rFonts w:ascii="Times New Roman" w:hAnsi="Times New Roman" w:cs="Times New Roman"/>
          <w:sz w:val="24"/>
          <w:szCs w:val="18"/>
          <w:lang w:val="en-US"/>
        </w:rPr>
        <w:t>diet (</w:t>
      </w:r>
      <w:r w:rsidR="000B7124" w:rsidRPr="00E120F7">
        <w:rPr>
          <w:rFonts w:ascii="Times New Roman" w:hAnsi="Times New Roman" w:cs="Times New Roman"/>
          <w:sz w:val="24"/>
          <w:szCs w:val="18"/>
          <w:lang w:val="en-US"/>
        </w:rPr>
        <w:t>Δ</w:t>
      </w:r>
      <w:r w:rsidR="000B7124" w:rsidRPr="00E120F7">
        <w:rPr>
          <w:rFonts w:ascii="Times New Roman" w:hAnsi="Times New Roman" w:cs="Times New Roman"/>
          <w:sz w:val="24"/>
          <w:szCs w:val="18"/>
          <w:vertAlign w:val="superscript"/>
          <w:lang w:val="en-US"/>
        </w:rPr>
        <w:t>15</w:t>
      </w:r>
      <w:r w:rsidR="000B7124" w:rsidRPr="00E120F7">
        <w:rPr>
          <w:rFonts w:ascii="Times New Roman" w:hAnsi="Times New Roman" w:cs="Times New Roman"/>
          <w:sz w:val="24"/>
          <w:szCs w:val="18"/>
          <w:lang w:val="en-US"/>
        </w:rPr>
        <w:t>N</w:t>
      </w:r>
      <w:r w:rsidR="000B7124" w:rsidRPr="000F0083">
        <w:rPr>
          <w:rFonts w:ascii="Times New Roman" w:hAnsi="Times New Roman" w:cs="Times New Roman"/>
          <w:sz w:val="24"/>
          <w:szCs w:val="18"/>
          <w:vertAlign w:val="subscript"/>
          <w:lang w:val="en-US"/>
        </w:rPr>
        <w:t>animal-diet</w:t>
      </w:r>
      <w:r w:rsidR="000B7124">
        <w:rPr>
          <w:rFonts w:ascii="Times New Roman" w:hAnsi="Times New Roman" w:cs="Times New Roman"/>
          <w:sz w:val="24"/>
          <w:szCs w:val="18"/>
          <w:lang w:val="en-US"/>
        </w:rPr>
        <w:t>)</w:t>
      </w:r>
      <w:r w:rsidR="000B7124" w:rsidRPr="00E120F7">
        <w:rPr>
          <w:rFonts w:ascii="Times New Roman" w:hAnsi="Times New Roman" w:cs="Times New Roman"/>
          <w:sz w:val="24"/>
          <w:szCs w:val="18"/>
          <w:lang w:val="en-US"/>
        </w:rPr>
        <w:t xml:space="preserve"> </w:t>
      </w:r>
      <w:r w:rsidR="000B7124">
        <w:rPr>
          <w:rFonts w:ascii="Times New Roman" w:hAnsi="Times New Roman" w:cs="Times New Roman"/>
          <w:sz w:val="24"/>
          <w:szCs w:val="18"/>
          <w:lang w:val="en-US"/>
        </w:rPr>
        <w:t>to predict</w:t>
      </w:r>
      <w:r w:rsidR="000B7124" w:rsidRPr="00E120F7">
        <w:rPr>
          <w:rFonts w:ascii="Times New Roman" w:hAnsi="Times New Roman" w:cs="Times New Roman"/>
          <w:sz w:val="24"/>
          <w:szCs w:val="18"/>
          <w:lang w:val="en-US"/>
        </w:rPr>
        <w:t xml:space="preserve"> </w:t>
      </w:r>
      <w:r w:rsidR="000B7124">
        <w:rPr>
          <w:rFonts w:ascii="Times New Roman" w:hAnsi="Times New Roman" w:cs="Times New Roman"/>
          <w:sz w:val="24"/>
          <w:szCs w:val="18"/>
          <w:lang w:val="en-US"/>
        </w:rPr>
        <w:t xml:space="preserve">between-animal </w:t>
      </w:r>
      <w:r w:rsidR="000B7124" w:rsidRPr="00E120F7">
        <w:rPr>
          <w:rFonts w:ascii="Times New Roman" w:hAnsi="Times New Roman" w:cs="Times New Roman"/>
          <w:sz w:val="24"/>
          <w:szCs w:val="18"/>
          <w:lang w:val="en-US"/>
        </w:rPr>
        <w:t xml:space="preserve">variation in </w:t>
      </w:r>
      <w:r w:rsidR="000B7124">
        <w:rPr>
          <w:rFonts w:ascii="Times New Roman" w:hAnsi="Times New Roman" w:cs="Times New Roman"/>
          <w:sz w:val="24"/>
          <w:szCs w:val="18"/>
          <w:lang w:val="en-US"/>
        </w:rPr>
        <w:t>N use efficiency (NUE)</w:t>
      </w:r>
      <w:r w:rsidR="00E60788">
        <w:rPr>
          <w:rFonts w:ascii="Times New Roman" w:hAnsi="Times New Roman" w:cs="Times New Roman"/>
          <w:sz w:val="24"/>
          <w:szCs w:val="18"/>
          <w:lang w:val="en-US"/>
        </w:rPr>
        <w:t>,</w:t>
      </w:r>
      <w:r w:rsidR="000B7124">
        <w:rPr>
          <w:rFonts w:ascii="Times New Roman" w:hAnsi="Times New Roman" w:cs="Times New Roman"/>
          <w:sz w:val="24"/>
          <w:szCs w:val="18"/>
          <w:lang w:val="en-US"/>
        </w:rPr>
        <w:t xml:space="preserve"> </w:t>
      </w:r>
      <w:r w:rsidR="00627AC3">
        <w:rPr>
          <w:rFonts w:ascii="Times New Roman" w:hAnsi="Times New Roman" w:cs="Times New Roman"/>
          <w:sz w:val="24"/>
          <w:szCs w:val="18"/>
          <w:lang w:val="en-US"/>
        </w:rPr>
        <w:t>as well as</w:t>
      </w:r>
      <w:r w:rsidR="000B7124" w:rsidRPr="00E120F7">
        <w:rPr>
          <w:rFonts w:ascii="Times New Roman" w:hAnsi="Times New Roman" w:cs="Times New Roman"/>
          <w:sz w:val="24"/>
          <w:szCs w:val="18"/>
          <w:lang w:val="en-US"/>
        </w:rPr>
        <w:t xml:space="preserve"> </w:t>
      </w:r>
      <w:r w:rsidR="00AE0026">
        <w:rPr>
          <w:rFonts w:ascii="Times New Roman" w:hAnsi="Times New Roman" w:cs="Times New Roman"/>
          <w:sz w:val="24"/>
          <w:szCs w:val="18"/>
          <w:lang w:val="en-US"/>
        </w:rPr>
        <w:t xml:space="preserve">assessed the </w:t>
      </w:r>
      <w:r w:rsidR="000B7124" w:rsidRPr="00E120F7">
        <w:rPr>
          <w:rFonts w:ascii="Times New Roman" w:hAnsi="Times New Roman" w:cs="Times New Roman"/>
          <w:sz w:val="24"/>
          <w:szCs w:val="18"/>
          <w:lang w:val="en-US"/>
        </w:rPr>
        <w:t>main mechanisms by which Δ</w:t>
      </w:r>
      <w:r w:rsidR="000B7124" w:rsidRPr="00E120F7">
        <w:rPr>
          <w:rFonts w:ascii="Times New Roman" w:hAnsi="Times New Roman" w:cs="Times New Roman"/>
          <w:sz w:val="24"/>
          <w:szCs w:val="18"/>
          <w:vertAlign w:val="superscript"/>
          <w:lang w:val="en-US"/>
        </w:rPr>
        <w:t>15</w:t>
      </w:r>
      <w:r w:rsidR="000B7124" w:rsidRPr="00E120F7">
        <w:rPr>
          <w:rFonts w:ascii="Times New Roman" w:hAnsi="Times New Roman" w:cs="Times New Roman"/>
          <w:sz w:val="24"/>
          <w:szCs w:val="18"/>
          <w:lang w:val="en-US"/>
        </w:rPr>
        <w:t>N</w:t>
      </w:r>
      <w:r w:rsidR="000B7124" w:rsidRPr="000F0083">
        <w:rPr>
          <w:rFonts w:ascii="Times New Roman" w:hAnsi="Times New Roman" w:cs="Times New Roman"/>
          <w:sz w:val="24"/>
          <w:szCs w:val="18"/>
          <w:vertAlign w:val="subscript"/>
          <w:lang w:val="en-US"/>
        </w:rPr>
        <w:t>animal-diet</w:t>
      </w:r>
      <w:r w:rsidR="000B7124" w:rsidRPr="00E120F7">
        <w:rPr>
          <w:rFonts w:ascii="Times New Roman" w:hAnsi="Times New Roman" w:cs="Times New Roman"/>
          <w:sz w:val="24"/>
          <w:szCs w:val="18"/>
          <w:lang w:val="en-US"/>
        </w:rPr>
        <w:t xml:space="preserve"> is related to NUE </w:t>
      </w:r>
      <w:r w:rsidR="00E60788">
        <w:rPr>
          <w:rFonts w:ascii="Times New Roman" w:hAnsi="Times New Roman" w:cs="Times New Roman"/>
          <w:sz w:val="24"/>
          <w:szCs w:val="18"/>
          <w:lang w:val="en-US"/>
        </w:rPr>
        <w:t>under common</w:t>
      </w:r>
      <w:r w:rsidR="000B7124" w:rsidRPr="00E120F7">
        <w:rPr>
          <w:rFonts w:ascii="Times New Roman" w:hAnsi="Times New Roman" w:cs="Times New Roman"/>
          <w:sz w:val="24"/>
          <w:szCs w:val="18"/>
          <w:lang w:val="en-US"/>
        </w:rPr>
        <w:t xml:space="preserve"> feeding conditions</w:t>
      </w:r>
      <w:r w:rsidR="000B7124">
        <w:rPr>
          <w:rFonts w:ascii="Times New Roman" w:hAnsi="Times New Roman" w:cs="Times New Roman"/>
          <w:sz w:val="24"/>
          <w:szCs w:val="18"/>
          <w:lang w:val="en-US"/>
        </w:rPr>
        <w:t>.</w:t>
      </w:r>
      <w:r w:rsidR="000B7124" w:rsidRPr="00E120F7">
        <w:rPr>
          <w:rFonts w:ascii="Times New Roman" w:hAnsi="Times New Roman" w:cs="Times New Roman"/>
          <w:sz w:val="24"/>
          <w:szCs w:val="18"/>
          <w:lang w:val="en-US"/>
        </w:rPr>
        <w:t xml:space="preserve"> </w:t>
      </w:r>
      <w:r w:rsidR="000B7124">
        <w:rPr>
          <w:rFonts w:ascii="Times New Roman" w:hAnsi="Times New Roman" w:cs="Times New Roman"/>
          <w:sz w:val="24"/>
          <w:szCs w:val="18"/>
          <w:lang w:val="en-US"/>
        </w:rPr>
        <w:t>I</w:t>
      </w:r>
      <w:r w:rsidR="000B7124" w:rsidRPr="00E120F7">
        <w:rPr>
          <w:rFonts w:ascii="Times New Roman" w:hAnsi="Times New Roman" w:cs="Times New Roman"/>
          <w:sz w:val="24"/>
          <w:szCs w:val="18"/>
          <w:lang w:val="en-US"/>
        </w:rPr>
        <w:t xml:space="preserve">ndividual </w:t>
      </w:r>
      <w:r w:rsidR="000B7124">
        <w:rPr>
          <w:rFonts w:ascii="Times New Roman" w:hAnsi="Times New Roman" w:cs="Times New Roman"/>
          <w:sz w:val="24"/>
          <w:szCs w:val="18"/>
          <w:lang w:val="en-US"/>
        </w:rPr>
        <w:t>values</w:t>
      </w:r>
      <w:r w:rsidR="000B7124" w:rsidRPr="00E120F7">
        <w:rPr>
          <w:rFonts w:ascii="Times New Roman" w:hAnsi="Times New Roman" w:cs="Times New Roman"/>
          <w:sz w:val="24"/>
          <w:szCs w:val="18"/>
          <w:lang w:val="en-US"/>
        </w:rPr>
        <w:t xml:space="preserve"> f</w:t>
      </w:r>
      <w:r w:rsidR="00E60788">
        <w:rPr>
          <w:rFonts w:ascii="Times New Roman" w:hAnsi="Times New Roman" w:cs="Times New Roman"/>
          <w:sz w:val="24"/>
          <w:szCs w:val="18"/>
          <w:lang w:val="en-US"/>
        </w:rPr>
        <w:t>or</w:t>
      </w:r>
      <w:r w:rsidR="000B7124" w:rsidRPr="00E120F7">
        <w:rPr>
          <w:rFonts w:ascii="Times New Roman" w:hAnsi="Times New Roman" w:cs="Times New Roman"/>
          <w:sz w:val="24"/>
          <w:szCs w:val="18"/>
          <w:lang w:val="en-US"/>
        </w:rPr>
        <w:t xml:space="preserve"> NUE</w:t>
      </w:r>
      <w:r w:rsidR="000B7124">
        <w:rPr>
          <w:rFonts w:ascii="Times New Roman" w:hAnsi="Times New Roman" w:cs="Times New Roman"/>
          <w:sz w:val="24"/>
          <w:szCs w:val="18"/>
          <w:lang w:val="en-US"/>
        </w:rPr>
        <w:t xml:space="preserve"> (n = 217)</w:t>
      </w:r>
      <w:r w:rsidR="000B7124" w:rsidRPr="00E120F7">
        <w:rPr>
          <w:rFonts w:ascii="Times New Roman" w:hAnsi="Times New Roman" w:cs="Times New Roman"/>
          <w:sz w:val="24"/>
          <w:szCs w:val="18"/>
          <w:lang w:val="en-US"/>
        </w:rPr>
        <w:t xml:space="preserve"> and Δ</w:t>
      </w:r>
      <w:r w:rsidR="000B7124" w:rsidRPr="000F0083">
        <w:rPr>
          <w:rFonts w:ascii="Times New Roman" w:hAnsi="Times New Roman" w:cs="Times New Roman"/>
          <w:sz w:val="24"/>
          <w:szCs w:val="18"/>
          <w:vertAlign w:val="superscript"/>
          <w:lang w:val="en-US"/>
        </w:rPr>
        <w:t>15</w:t>
      </w:r>
      <w:r w:rsidR="000B7124" w:rsidRPr="00E120F7">
        <w:rPr>
          <w:rFonts w:ascii="Times New Roman" w:hAnsi="Times New Roman" w:cs="Times New Roman"/>
          <w:sz w:val="24"/>
          <w:szCs w:val="18"/>
          <w:lang w:val="en-US"/>
        </w:rPr>
        <w:t>N</w:t>
      </w:r>
      <w:r w:rsidR="000B7124" w:rsidRPr="003B1664">
        <w:rPr>
          <w:rFonts w:ascii="Times New Roman" w:hAnsi="Times New Roman" w:cs="Times New Roman"/>
          <w:sz w:val="24"/>
          <w:szCs w:val="18"/>
          <w:vertAlign w:val="subscript"/>
          <w:lang w:val="en-US"/>
        </w:rPr>
        <w:t xml:space="preserve">animal-diet </w:t>
      </w:r>
      <w:r w:rsidR="000B7124">
        <w:rPr>
          <w:rFonts w:ascii="Times New Roman" w:hAnsi="Times New Roman" w:cs="Times New Roman"/>
          <w:sz w:val="24"/>
          <w:szCs w:val="18"/>
          <w:lang w:val="en-US"/>
        </w:rPr>
        <w:t>(n = 274)</w:t>
      </w:r>
      <w:r w:rsidR="000B7124" w:rsidRPr="00E120F7">
        <w:rPr>
          <w:rFonts w:ascii="Times New Roman" w:hAnsi="Times New Roman" w:cs="Times New Roman"/>
          <w:sz w:val="24"/>
          <w:szCs w:val="18"/>
          <w:lang w:val="en-US"/>
        </w:rPr>
        <w:t xml:space="preserve"> from 11 published experiments </w:t>
      </w:r>
      <w:r w:rsidR="000B7124">
        <w:rPr>
          <w:rFonts w:ascii="Times New Roman" w:hAnsi="Times New Roman" w:cs="Times New Roman"/>
          <w:sz w:val="24"/>
          <w:szCs w:val="18"/>
          <w:lang w:val="en-US"/>
        </w:rPr>
        <w:t>were</w:t>
      </w:r>
      <w:r w:rsidR="000B7124" w:rsidRPr="00E120F7">
        <w:rPr>
          <w:rFonts w:ascii="Times New Roman" w:hAnsi="Times New Roman" w:cs="Times New Roman"/>
          <w:sz w:val="24"/>
          <w:szCs w:val="18"/>
          <w:lang w:val="en-US"/>
        </w:rPr>
        <w:t xml:space="preserve"> analyzed</w:t>
      </w:r>
      <w:r w:rsidR="000B7124" w:rsidRPr="000F0083">
        <w:rPr>
          <w:rFonts w:ascii="Times New Roman" w:hAnsi="Times New Roman" w:cs="Times New Roman"/>
          <w:sz w:val="24"/>
          <w:szCs w:val="18"/>
          <w:lang w:val="en-US"/>
        </w:rPr>
        <w:t xml:space="preserve"> </w:t>
      </w:r>
      <w:r w:rsidR="000B7124">
        <w:rPr>
          <w:rFonts w:ascii="Times New Roman" w:hAnsi="Times New Roman" w:cs="Times New Roman"/>
          <w:sz w:val="24"/>
          <w:szCs w:val="18"/>
          <w:lang w:val="en-US"/>
        </w:rPr>
        <w:t>by meta</w:t>
      </w:r>
      <w:r w:rsidR="009531B7">
        <w:rPr>
          <w:rFonts w:ascii="Times New Roman" w:hAnsi="Times New Roman" w:cs="Times New Roman"/>
          <w:sz w:val="24"/>
          <w:szCs w:val="18"/>
          <w:lang w:val="en-US"/>
        </w:rPr>
        <w:t>-</w:t>
      </w:r>
      <w:r w:rsidR="00E60788">
        <w:rPr>
          <w:rFonts w:ascii="Times New Roman" w:hAnsi="Times New Roman" w:cs="Times New Roman"/>
          <w:sz w:val="24"/>
          <w:szCs w:val="18"/>
          <w:lang w:val="en-US"/>
        </w:rPr>
        <w:t xml:space="preserve"> a</w:t>
      </w:r>
      <w:r w:rsidR="000B7124">
        <w:rPr>
          <w:rFonts w:ascii="Times New Roman" w:hAnsi="Times New Roman" w:cs="Times New Roman"/>
          <w:sz w:val="24"/>
          <w:szCs w:val="18"/>
          <w:lang w:val="en-US"/>
        </w:rPr>
        <w:t>nalysis</w:t>
      </w:r>
      <w:r w:rsidR="000B7124" w:rsidRPr="00E120F7">
        <w:rPr>
          <w:rFonts w:ascii="Times New Roman" w:hAnsi="Times New Roman" w:cs="Times New Roman"/>
          <w:sz w:val="24"/>
          <w:szCs w:val="18"/>
          <w:lang w:val="en-US"/>
        </w:rPr>
        <w:t xml:space="preserve">. </w:t>
      </w:r>
      <w:r w:rsidR="000B7124">
        <w:rPr>
          <w:rFonts w:ascii="Times New Roman" w:hAnsi="Times New Roman" w:cs="Times New Roman"/>
          <w:sz w:val="24"/>
          <w:szCs w:val="18"/>
          <w:lang w:val="en-US"/>
        </w:rPr>
        <w:t xml:space="preserve">All dietary treatments were </w:t>
      </w:r>
      <w:r w:rsidR="000B7124" w:rsidRPr="00E120F7">
        <w:rPr>
          <w:rFonts w:ascii="Times New Roman" w:hAnsi="Times New Roman" w:cs="Times New Roman"/>
          <w:sz w:val="24"/>
          <w:szCs w:val="18"/>
          <w:lang w:val="en-US"/>
        </w:rPr>
        <w:t>characterized according to the new</w:t>
      </w:r>
      <w:r w:rsidR="00E60788">
        <w:rPr>
          <w:rFonts w:ascii="Times New Roman" w:hAnsi="Times New Roman" w:cs="Times New Roman"/>
          <w:sz w:val="24"/>
          <w:szCs w:val="18"/>
          <w:lang w:val="en-US"/>
        </w:rPr>
        <w:t>ly-</w:t>
      </w:r>
      <w:r w:rsidR="000B7124" w:rsidRPr="00E120F7">
        <w:rPr>
          <w:rFonts w:ascii="Times New Roman" w:hAnsi="Times New Roman" w:cs="Times New Roman"/>
          <w:sz w:val="24"/>
          <w:szCs w:val="18"/>
          <w:lang w:val="en-US"/>
        </w:rPr>
        <w:t>updated French feeding system.</w:t>
      </w:r>
      <w:r w:rsidR="000B7124">
        <w:rPr>
          <w:rFonts w:ascii="Times New Roman" w:hAnsi="Times New Roman" w:cs="Times New Roman"/>
          <w:sz w:val="24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18"/>
          <w:lang w:val="en-US"/>
        </w:rPr>
        <w:t>The</w:t>
      </w:r>
      <w:r w:rsidR="000B7124">
        <w:rPr>
          <w:rFonts w:ascii="Times New Roman" w:hAnsi="Times New Roman" w:cs="Times New Roman"/>
          <w:sz w:val="24"/>
          <w:szCs w:val="18"/>
          <w:lang w:val="en-US"/>
        </w:rPr>
        <w:t xml:space="preserve"> </w:t>
      </w:r>
      <w:r w:rsidR="000B7124" w:rsidRPr="00E120F7">
        <w:rPr>
          <w:rFonts w:ascii="Times New Roman" w:hAnsi="Times New Roman" w:cs="Times New Roman"/>
          <w:sz w:val="24"/>
          <w:szCs w:val="18"/>
          <w:lang w:val="en-US"/>
        </w:rPr>
        <w:t>Δ</w:t>
      </w:r>
      <w:r w:rsidR="000B7124" w:rsidRPr="00E120F7">
        <w:rPr>
          <w:rFonts w:ascii="Times New Roman" w:hAnsi="Times New Roman" w:cs="Times New Roman"/>
          <w:sz w:val="24"/>
          <w:szCs w:val="18"/>
          <w:vertAlign w:val="superscript"/>
          <w:lang w:val="en-US"/>
        </w:rPr>
        <w:t>15</w:t>
      </w:r>
      <w:r w:rsidR="000B7124" w:rsidRPr="00E120F7">
        <w:rPr>
          <w:rFonts w:ascii="Times New Roman" w:hAnsi="Times New Roman" w:cs="Times New Roman"/>
          <w:sz w:val="24"/>
          <w:szCs w:val="18"/>
          <w:lang w:val="en-US"/>
        </w:rPr>
        <w:t>N</w:t>
      </w:r>
      <w:r w:rsidR="000B7124" w:rsidRPr="000F0083">
        <w:rPr>
          <w:rFonts w:ascii="Times New Roman" w:hAnsi="Times New Roman" w:cs="Times New Roman"/>
          <w:sz w:val="24"/>
          <w:szCs w:val="18"/>
          <w:vertAlign w:val="subscript"/>
          <w:lang w:val="en-US"/>
        </w:rPr>
        <w:t>animal-diet</w:t>
      </w:r>
      <w:r w:rsidR="000B7124">
        <w:rPr>
          <w:rFonts w:ascii="Times New Roman" w:hAnsi="Times New Roman" w:cs="Times New Roman"/>
          <w:sz w:val="24"/>
          <w:szCs w:val="18"/>
          <w:vertAlign w:val="subscript"/>
          <w:lang w:val="en-US"/>
        </w:rPr>
        <w:t xml:space="preserve"> </w:t>
      </w:r>
      <w:r w:rsidR="000B7124">
        <w:rPr>
          <w:rFonts w:ascii="Times New Roman" w:hAnsi="Times New Roman" w:cs="Times New Roman"/>
          <w:sz w:val="24"/>
          <w:szCs w:val="18"/>
          <w:lang w:val="en-US"/>
        </w:rPr>
        <w:t xml:space="preserve">reflects between-animal variation in NUE and underlying mechanisms by which </w:t>
      </w:r>
      <w:r w:rsidR="00660D97" w:rsidRPr="00E120F7">
        <w:rPr>
          <w:rFonts w:ascii="Times New Roman" w:hAnsi="Times New Roman" w:cs="Times New Roman"/>
          <w:sz w:val="24"/>
          <w:szCs w:val="18"/>
          <w:lang w:val="en-US"/>
        </w:rPr>
        <w:t>Δ</w:t>
      </w:r>
      <w:r w:rsidR="00660D97" w:rsidRPr="00E120F7">
        <w:rPr>
          <w:rFonts w:ascii="Times New Roman" w:hAnsi="Times New Roman" w:cs="Times New Roman"/>
          <w:sz w:val="24"/>
          <w:szCs w:val="18"/>
          <w:vertAlign w:val="superscript"/>
          <w:lang w:val="en-US"/>
        </w:rPr>
        <w:t>15</w:t>
      </w:r>
      <w:r w:rsidR="00660D97" w:rsidRPr="00E120F7">
        <w:rPr>
          <w:rFonts w:ascii="Times New Roman" w:hAnsi="Times New Roman" w:cs="Times New Roman"/>
          <w:sz w:val="24"/>
          <w:szCs w:val="18"/>
          <w:lang w:val="en-US"/>
        </w:rPr>
        <w:t>N</w:t>
      </w:r>
      <w:r w:rsidR="00660D97" w:rsidRPr="000F0083">
        <w:rPr>
          <w:rFonts w:ascii="Times New Roman" w:hAnsi="Times New Roman" w:cs="Times New Roman"/>
          <w:sz w:val="24"/>
          <w:szCs w:val="18"/>
          <w:vertAlign w:val="subscript"/>
          <w:lang w:val="en-US"/>
        </w:rPr>
        <w:t>animal-diet</w:t>
      </w:r>
      <w:r w:rsidR="00660D97">
        <w:rPr>
          <w:rFonts w:ascii="Times New Roman" w:hAnsi="Times New Roman" w:cs="Times New Roman"/>
          <w:sz w:val="24"/>
          <w:szCs w:val="18"/>
          <w:vertAlign w:val="subscript"/>
          <w:lang w:val="en-US"/>
        </w:rPr>
        <w:t xml:space="preserve"> </w:t>
      </w:r>
      <w:r w:rsidR="000B7124">
        <w:rPr>
          <w:rFonts w:ascii="Times New Roman" w:hAnsi="Times New Roman" w:cs="Times New Roman"/>
          <w:sz w:val="24"/>
          <w:szCs w:val="18"/>
          <w:lang w:val="en-US"/>
        </w:rPr>
        <w:t xml:space="preserve">is related to NUE across diets are </w:t>
      </w:r>
      <w:r w:rsidR="00C12FA7">
        <w:rPr>
          <w:rFonts w:ascii="Times New Roman" w:hAnsi="Times New Roman" w:cs="Times New Roman"/>
          <w:sz w:val="24"/>
          <w:szCs w:val="18"/>
          <w:lang w:val="en-US"/>
        </w:rPr>
        <w:t xml:space="preserve">at </w:t>
      </w:r>
      <w:r w:rsidR="000B7124">
        <w:rPr>
          <w:rFonts w:ascii="Times New Roman" w:hAnsi="Times New Roman" w:cs="Times New Roman"/>
          <w:sz w:val="24"/>
          <w:szCs w:val="18"/>
          <w:lang w:val="en-US"/>
        </w:rPr>
        <w:t>both the metabolic and rumen level</w:t>
      </w:r>
      <w:r w:rsidR="00C12FA7">
        <w:rPr>
          <w:rFonts w:ascii="Times New Roman" w:hAnsi="Times New Roman" w:cs="Times New Roman"/>
          <w:sz w:val="24"/>
          <w:szCs w:val="18"/>
          <w:lang w:val="en-US"/>
        </w:rPr>
        <w:t>s</w:t>
      </w:r>
      <w:r w:rsidR="000B7124">
        <w:rPr>
          <w:rFonts w:ascii="Times New Roman" w:hAnsi="Times New Roman" w:cs="Times New Roman"/>
          <w:sz w:val="24"/>
          <w:szCs w:val="18"/>
          <w:lang w:val="en-US"/>
        </w:rPr>
        <w:t>.</w:t>
      </w:r>
    </w:p>
    <w:p w:rsidR="000B7124" w:rsidRDefault="000B7124" w:rsidP="000B71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3"/>
          <w:lang w:val="en-US"/>
        </w:rPr>
      </w:pPr>
    </w:p>
    <w:p w:rsidR="000B7124" w:rsidRDefault="000B7124" w:rsidP="000B7124">
      <w:pPr>
        <w:spacing w:after="0" w:line="240" w:lineRule="auto"/>
        <w:rPr>
          <w:rFonts w:ascii="Times New Roman" w:hAnsi="Times New Roman" w:cs="Times New Roman"/>
          <w:bCs/>
          <w:sz w:val="24"/>
          <w:szCs w:val="23"/>
          <w:lang w:val="en-US"/>
        </w:rPr>
      </w:pPr>
      <w:r w:rsidRPr="00782F7D">
        <w:rPr>
          <w:rFonts w:ascii="Times New Roman" w:hAnsi="Times New Roman" w:cs="Times New Roman"/>
          <w:b/>
          <w:bCs/>
          <w:sz w:val="24"/>
          <w:szCs w:val="23"/>
          <w:lang w:val="en-US"/>
        </w:rPr>
        <w:t xml:space="preserve">Keywords: </w:t>
      </w:r>
      <w:r w:rsidRPr="00782F7D">
        <w:rPr>
          <w:rFonts w:ascii="Times New Roman" w:hAnsi="Times New Roman" w:cs="Times New Roman"/>
          <w:bCs/>
          <w:sz w:val="24"/>
          <w:szCs w:val="23"/>
          <w:lang w:val="en-US"/>
        </w:rPr>
        <w:t xml:space="preserve">Feed efficiency, </w:t>
      </w:r>
      <w:r w:rsidRPr="00B43974">
        <w:rPr>
          <w:rFonts w:ascii="Times New Roman" w:hAnsi="Times New Roman" w:cs="Times New Roman"/>
          <w:bCs/>
          <w:sz w:val="24"/>
          <w:szCs w:val="23"/>
          <w:vertAlign w:val="superscript"/>
          <w:lang w:val="en-US"/>
        </w:rPr>
        <w:t>15</w:t>
      </w:r>
      <w:r w:rsidRPr="00782F7D">
        <w:rPr>
          <w:rFonts w:ascii="Times New Roman" w:hAnsi="Times New Roman" w:cs="Times New Roman"/>
          <w:bCs/>
          <w:sz w:val="24"/>
          <w:szCs w:val="23"/>
          <w:lang w:val="en-US"/>
        </w:rPr>
        <w:t>N, Individual variability</w:t>
      </w:r>
    </w:p>
    <w:p w:rsidR="000B7124" w:rsidRPr="00782F7D" w:rsidRDefault="000B7124" w:rsidP="000B71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3"/>
          <w:lang w:val="en-US"/>
        </w:rPr>
      </w:pPr>
    </w:p>
    <w:p w:rsidR="000B7124" w:rsidRDefault="000B7124" w:rsidP="000B71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3"/>
          <w:lang w:val="en-US"/>
        </w:rPr>
      </w:pPr>
      <w:r w:rsidRPr="00782F7D">
        <w:rPr>
          <w:rFonts w:ascii="Times New Roman" w:hAnsi="Times New Roman" w:cs="Times New Roman"/>
          <w:b/>
          <w:bCs/>
          <w:sz w:val="24"/>
          <w:szCs w:val="23"/>
          <w:lang w:val="en-US"/>
        </w:rPr>
        <w:t>Introduction</w:t>
      </w:r>
    </w:p>
    <w:p w:rsidR="00261768" w:rsidRDefault="00261768" w:rsidP="000B71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3"/>
          <w:lang w:val="en-US"/>
        </w:rPr>
      </w:pPr>
    </w:p>
    <w:p w:rsidR="000B7124" w:rsidRDefault="000B7124" w:rsidP="000B7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  <w:lang w:val="en-US"/>
        </w:rPr>
      </w:pPr>
      <w:r w:rsidRPr="00A715FB">
        <w:rPr>
          <w:rFonts w:ascii="Times New Roman" w:hAnsi="Times New Roman" w:cs="Times New Roman"/>
          <w:sz w:val="24"/>
          <w:szCs w:val="18"/>
          <w:lang w:val="en-US"/>
        </w:rPr>
        <w:t>N</w:t>
      </w:r>
      <w:r w:rsidR="00C12FA7">
        <w:rPr>
          <w:rFonts w:ascii="Times New Roman" w:hAnsi="Times New Roman" w:cs="Times New Roman"/>
          <w:sz w:val="24"/>
          <w:szCs w:val="18"/>
          <w:lang w:val="en-US"/>
        </w:rPr>
        <w:t>itrogen</w:t>
      </w:r>
      <w:r w:rsidRPr="00A715FB">
        <w:rPr>
          <w:rFonts w:ascii="Times New Roman" w:hAnsi="Times New Roman" w:cs="Times New Roman"/>
          <w:sz w:val="24"/>
          <w:szCs w:val="18"/>
          <w:lang w:val="en-US"/>
        </w:rPr>
        <w:t xml:space="preserve"> use efficiency (</w:t>
      </w:r>
      <w:r w:rsidRPr="00A715FB">
        <w:rPr>
          <w:rFonts w:ascii="Times New Roman" w:hAnsi="Times New Roman" w:cs="Times New Roman"/>
          <w:b/>
          <w:sz w:val="24"/>
          <w:szCs w:val="18"/>
          <w:lang w:val="en-US"/>
        </w:rPr>
        <w:t>NUE</w:t>
      </w:r>
      <w:r w:rsidRPr="00A715FB">
        <w:rPr>
          <w:rFonts w:ascii="Times New Roman" w:hAnsi="Times New Roman" w:cs="Times New Roman"/>
          <w:sz w:val="24"/>
          <w:szCs w:val="18"/>
          <w:lang w:val="en-US"/>
        </w:rPr>
        <w:t>; nitrogen gain or milk</w:t>
      </w:r>
      <w:r>
        <w:rPr>
          <w:rFonts w:ascii="Times New Roman" w:hAnsi="Times New Roman" w:cs="Times New Roman"/>
          <w:sz w:val="24"/>
          <w:szCs w:val="18"/>
          <w:lang w:val="en-US"/>
        </w:rPr>
        <w:t xml:space="preserve"> nitrogen</w:t>
      </w:r>
      <w:r w:rsidRPr="00A715FB">
        <w:rPr>
          <w:rFonts w:ascii="Times New Roman" w:hAnsi="Times New Roman" w:cs="Times New Roman"/>
          <w:sz w:val="24"/>
          <w:szCs w:val="18"/>
          <w:lang w:val="en-US"/>
        </w:rPr>
        <w:t xml:space="preserve"> yield/N intake) is a</w:t>
      </w:r>
      <w:r w:rsidR="00C12FA7">
        <w:rPr>
          <w:rFonts w:ascii="Times New Roman" w:hAnsi="Times New Roman" w:cs="Times New Roman"/>
          <w:sz w:val="24"/>
          <w:szCs w:val="18"/>
          <w:lang w:val="en-US"/>
        </w:rPr>
        <w:t xml:space="preserve">n important component </w:t>
      </w:r>
      <w:r w:rsidRPr="00A715FB">
        <w:rPr>
          <w:rFonts w:ascii="Times New Roman" w:hAnsi="Times New Roman" w:cs="Times New Roman"/>
          <w:sz w:val="24"/>
          <w:szCs w:val="18"/>
          <w:lang w:val="en-US"/>
        </w:rPr>
        <w:t>of animal feed efficiency. A</w:t>
      </w:r>
      <w:r w:rsidR="00252441">
        <w:rPr>
          <w:rFonts w:ascii="Times New Roman" w:hAnsi="Times New Roman" w:cs="Times New Roman"/>
          <w:sz w:val="24"/>
          <w:szCs w:val="18"/>
          <w:lang w:val="en-US"/>
        </w:rPr>
        <w:t xml:space="preserve"> promising </w:t>
      </w:r>
      <w:r w:rsidRPr="00A715FB">
        <w:rPr>
          <w:rFonts w:ascii="Times New Roman" w:hAnsi="Times New Roman" w:cs="Times New Roman"/>
          <w:sz w:val="24"/>
          <w:szCs w:val="18"/>
          <w:lang w:val="en-US"/>
        </w:rPr>
        <w:t xml:space="preserve">biomarker for NUE is based on the </w:t>
      </w:r>
      <w:r w:rsidR="00C12FA7">
        <w:rPr>
          <w:rFonts w:ascii="Times New Roman" w:hAnsi="Times New Roman" w:cs="Times New Roman"/>
          <w:sz w:val="24"/>
          <w:szCs w:val="18"/>
          <w:lang w:val="en-US"/>
        </w:rPr>
        <w:t xml:space="preserve">phenomenon of </w:t>
      </w:r>
      <w:r w:rsidRPr="00A715FB">
        <w:rPr>
          <w:rFonts w:ascii="Times New Roman" w:hAnsi="Times New Roman" w:cs="Times New Roman"/>
          <w:sz w:val="24"/>
          <w:szCs w:val="18"/>
          <w:lang w:val="en-US"/>
        </w:rPr>
        <w:t>N isotopic fractionation (</w:t>
      </w:r>
      <w:r w:rsidRPr="00A715FB">
        <w:rPr>
          <w:rFonts w:ascii="Times New Roman" w:hAnsi="Times New Roman" w:cs="Times New Roman"/>
          <w:b/>
          <w:sz w:val="24"/>
          <w:szCs w:val="18"/>
          <w:lang w:val="en-US"/>
        </w:rPr>
        <w:t>Δ</w:t>
      </w:r>
      <w:r w:rsidRPr="00A715FB">
        <w:rPr>
          <w:rFonts w:ascii="Times New Roman" w:hAnsi="Times New Roman" w:cs="Times New Roman"/>
          <w:b/>
          <w:sz w:val="24"/>
          <w:szCs w:val="18"/>
          <w:vertAlign w:val="superscript"/>
          <w:lang w:val="en-US"/>
        </w:rPr>
        <w:t>15</w:t>
      </w:r>
      <w:r w:rsidRPr="00A715FB">
        <w:rPr>
          <w:rFonts w:ascii="Times New Roman" w:hAnsi="Times New Roman" w:cs="Times New Roman"/>
          <w:b/>
          <w:sz w:val="24"/>
          <w:szCs w:val="18"/>
          <w:lang w:val="en-US"/>
        </w:rPr>
        <w:t>N</w:t>
      </w:r>
      <w:r w:rsidRPr="00A715FB">
        <w:rPr>
          <w:rFonts w:ascii="Times New Roman" w:hAnsi="Times New Roman" w:cs="Times New Roman"/>
          <w:b/>
          <w:sz w:val="24"/>
          <w:szCs w:val="18"/>
          <w:vertAlign w:val="subscript"/>
          <w:lang w:val="en-US"/>
        </w:rPr>
        <w:t>animal-diet</w:t>
      </w:r>
      <w:r w:rsidRPr="00A715FB">
        <w:rPr>
          <w:rFonts w:ascii="Times New Roman" w:hAnsi="Times New Roman" w:cs="Times New Roman"/>
          <w:sz w:val="24"/>
          <w:szCs w:val="18"/>
          <w:lang w:val="en-US"/>
        </w:rPr>
        <w:t>; the diffe</w:t>
      </w:r>
      <w:r>
        <w:rPr>
          <w:rFonts w:ascii="Times New Roman" w:hAnsi="Times New Roman" w:cs="Times New Roman"/>
          <w:sz w:val="24"/>
          <w:szCs w:val="18"/>
          <w:lang w:val="en-US"/>
        </w:rPr>
        <w:t xml:space="preserve">rence between animals </w:t>
      </w:r>
      <w:r w:rsidRPr="00A715FB">
        <w:rPr>
          <w:rFonts w:ascii="Times New Roman" w:hAnsi="Times New Roman" w:cs="Times New Roman"/>
          <w:sz w:val="24"/>
          <w:szCs w:val="18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18"/>
          <w:lang w:val="en-US"/>
        </w:rPr>
        <w:t>their</w:t>
      </w:r>
      <w:r w:rsidRPr="00A715FB">
        <w:rPr>
          <w:rFonts w:ascii="Times New Roman" w:hAnsi="Times New Roman" w:cs="Times New Roman"/>
          <w:sz w:val="24"/>
          <w:szCs w:val="18"/>
          <w:lang w:val="en-US"/>
        </w:rPr>
        <w:t xml:space="preserve"> diet in natural abundance of </w:t>
      </w:r>
      <w:r w:rsidRPr="00A715FB">
        <w:rPr>
          <w:rFonts w:ascii="Times New Roman" w:hAnsi="Times New Roman" w:cs="Times New Roman"/>
          <w:sz w:val="24"/>
          <w:szCs w:val="18"/>
          <w:vertAlign w:val="superscript"/>
          <w:lang w:val="en-US"/>
        </w:rPr>
        <w:t>15</w:t>
      </w:r>
      <w:r w:rsidRPr="00A715FB">
        <w:rPr>
          <w:rFonts w:ascii="Times New Roman" w:hAnsi="Times New Roman" w:cs="Times New Roman"/>
          <w:sz w:val="24"/>
          <w:szCs w:val="18"/>
          <w:lang w:val="en-US"/>
        </w:rPr>
        <w:t>N)</w:t>
      </w:r>
      <w:r w:rsidR="00C12FA7">
        <w:rPr>
          <w:rFonts w:ascii="Times New Roman" w:hAnsi="Times New Roman" w:cs="Times New Roman"/>
          <w:sz w:val="24"/>
          <w:szCs w:val="18"/>
          <w:lang w:val="en-US"/>
        </w:rPr>
        <w:t>. This approach</w:t>
      </w:r>
      <w:r w:rsidRPr="00A715FB">
        <w:rPr>
          <w:rFonts w:ascii="Times New Roman" w:hAnsi="Times New Roman" w:cs="Times New Roman"/>
          <w:sz w:val="24"/>
          <w:szCs w:val="18"/>
          <w:lang w:val="en-US"/>
        </w:rPr>
        <w:t xml:space="preserve"> may have potential to discriminate individuals fed the same diet</w:t>
      </w:r>
      <w:r w:rsidR="00C12FA7">
        <w:rPr>
          <w:rFonts w:ascii="Times New Roman" w:hAnsi="Times New Roman" w:cs="Times New Roman"/>
          <w:sz w:val="24"/>
          <w:szCs w:val="18"/>
          <w:lang w:val="en-US"/>
        </w:rPr>
        <w:t>,</w:t>
      </w:r>
      <w:r w:rsidRPr="00A715FB">
        <w:rPr>
          <w:rFonts w:ascii="Times New Roman" w:hAnsi="Times New Roman" w:cs="Times New Roman"/>
          <w:sz w:val="24"/>
          <w:szCs w:val="18"/>
          <w:lang w:val="en-US"/>
        </w:rPr>
        <w:t xml:space="preserve"> but </w:t>
      </w:r>
      <w:r w:rsidR="00C12FA7">
        <w:rPr>
          <w:rFonts w:ascii="Times New Roman" w:hAnsi="Times New Roman" w:cs="Times New Roman"/>
          <w:sz w:val="24"/>
          <w:szCs w:val="18"/>
          <w:lang w:val="en-US"/>
        </w:rPr>
        <w:t>with</w:t>
      </w:r>
      <w:r w:rsidRPr="00A715FB">
        <w:rPr>
          <w:rFonts w:ascii="Times New Roman" w:hAnsi="Times New Roman" w:cs="Times New Roman"/>
          <w:sz w:val="24"/>
          <w:szCs w:val="18"/>
          <w:lang w:val="en-US"/>
        </w:rPr>
        <w:t xml:space="preserve"> different N partitioning. </w:t>
      </w:r>
      <w:r w:rsidR="00C12FA7">
        <w:rPr>
          <w:rFonts w:ascii="Times New Roman" w:hAnsi="Times New Roman" w:cs="Times New Roman"/>
          <w:sz w:val="24"/>
          <w:szCs w:val="18"/>
          <w:lang w:val="en-US"/>
        </w:rPr>
        <w:t xml:space="preserve">A number of studies over </w:t>
      </w:r>
      <w:r w:rsidRPr="00A715FB">
        <w:rPr>
          <w:rFonts w:ascii="Times New Roman" w:hAnsi="Times New Roman" w:cs="Times New Roman"/>
          <w:sz w:val="24"/>
          <w:szCs w:val="18"/>
          <w:lang w:val="en-US"/>
        </w:rPr>
        <w:t>the last 5 years have evaluated this new biomarker f</w:t>
      </w:r>
      <w:r w:rsidR="00C12FA7">
        <w:rPr>
          <w:rFonts w:ascii="Times New Roman" w:hAnsi="Times New Roman" w:cs="Times New Roman"/>
          <w:sz w:val="24"/>
          <w:szCs w:val="18"/>
          <w:lang w:val="en-US"/>
        </w:rPr>
        <w:t>or</w:t>
      </w:r>
      <w:r w:rsidRPr="00A715FB">
        <w:rPr>
          <w:rFonts w:ascii="Times New Roman" w:hAnsi="Times New Roman" w:cs="Times New Roman"/>
          <w:sz w:val="24"/>
          <w:szCs w:val="18"/>
          <w:lang w:val="en-US"/>
        </w:rPr>
        <w:t xml:space="preserve"> NUE in ruminants</w:t>
      </w:r>
      <w:r w:rsidR="00252441">
        <w:rPr>
          <w:rFonts w:ascii="Times New Roman" w:hAnsi="Times New Roman" w:cs="Times New Roman"/>
          <w:sz w:val="24"/>
          <w:szCs w:val="18"/>
          <w:lang w:val="en-US"/>
        </w:rPr>
        <w:t xml:space="preserve">, </w:t>
      </w:r>
      <w:r w:rsidRPr="00A715FB">
        <w:rPr>
          <w:rFonts w:ascii="Times New Roman" w:hAnsi="Times New Roman" w:cs="Times New Roman"/>
          <w:sz w:val="24"/>
          <w:szCs w:val="18"/>
          <w:lang w:val="en-US"/>
        </w:rPr>
        <w:t xml:space="preserve">but its potential to </w:t>
      </w:r>
      <w:r>
        <w:rPr>
          <w:rFonts w:ascii="Times New Roman" w:hAnsi="Times New Roman" w:cs="Times New Roman"/>
          <w:sz w:val="24"/>
          <w:szCs w:val="18"/>
          <w:lang w:val="en-US"/>
        </w:rPr>
        <w:t>reflect</w:t>
      </w:r>
      <w:r w:rsidRPr="00A715FB">
        <w:rPr>
          <w:rFonts w:ascii="Times New Roman" w:hAnsi="Times New Roman" w:cs="Times New Roman"/>
          <w:sz w:val="24"/>
          <w:szCs w:val="18"/>
          <w:lang w:val="en-US"/>
        </w:rPr>
        <w:t xml:space="preserve"> individual variation has not been yet assessed. The objective</w:t>
      </w:r>
      <w:r w:rsidR="00261768">
        <w:rPr>
          <w:rFonts w:ascii="Times New Roman" w:hAnsi="Times New Roman" w:cs="Times New Roman"/>
          <w:sz w:val="24"/>
          <w:szCs w:val="18"/>
          <w:lang w:val="en-US"/>
        </w:rPr>
        <w:t>s</w:t>
      </w:r>
      <w:r w:rsidRPr="00A715FB">
        <w:rPr>
          <w:rFonts w:ascii="Times New Roman" w:hAnsi="Times New Roman" w:cs="Times New Roman"/>
          <w:sz w:val="24"/>
          <w:szCs w:val="18"/>
          <w:lang w:val="en-US"/>
        </w:rPr>
        <w:t xml:space="preserve"> of this study w</w:t>
      </w:r>
      <w:r w:rsidR="00C12FA7">
        <w:rPr>
          <w:rFonts w:ascii="Times New Roman" w:hAnsi="Times New Roman" w:cs="Times New Roman"/>
          <w:sz w:val="24"/>
          <w:szCs w:val="18"/>
          <w:lang w:val="en-US"/>
        </w:rPr>
        <w:t xml:space="preserve">ere </w:t>
      </w:r>
      <w:r w:rsidRPr="00A715FB">
        <w:rPr>
          <w:rFonts w:ascii="Times New Roman" w:hAnsi="Times New Roman" w:cs="Times New Roman"/>
          <w:sz w:val="24"/>
          <w:szCs w:val="18"/>
          <w:lang w:val="en-US"/>
        </w:rPr>
        <w:t xml:space="preserve">to i) </w:t>
      </w:r>
      <w:r w:rsidR="00C12FA7">
        <w:rPr>
          <w:rFonts w:ascii="Times New Roman" w:hAnsi="Times New Roman" w:cs="Times New Roman"/>
          <w:sz w:val="24"/>
          <w:szCs w:val="18"/>
          <w:lang w:val="en-US"/>
        </w:rPr>
        <w:t xml:space="preserve">assess </w:t>
      </w:r>
      <w:r>
        <w:rPr>
          <w:rFonts w:ascii="Times New Roman" w:hAnsi="Times New Roman" w:cs="Times New Roman"/>
          <w:sz w:val="24"/>
          <w:szCs w:val="18"/>
          <w:lang w:val="en-US"/>
        </w:rPr>
        <w:t xml:space="preserve">the potential of </w:t>
      </w:r>
      <w:r w:rsidRPr="00A715FB">
        <w:rPr>
          <w:rFonts w:ascii="Times New Roman" w:hAnsi="Times New Roman" w:cs="Times New Roman"/>
          <w:sz w:val="24"/>
          <w:szCs w:val="18"/>
          <w:lang w:val="en-US"/>
        </w:rPr>
        <w:t>Δ</w:t>
      </w:r>
      <w:r w:rsidRPr="00A715FB">
        <w:rPr>
          <w:rFonts w:ascii="Times New Roman" w:hAnsi="Times New Roman" w:cs="Times New Roman"/>
          <w:sz w:val="24"/>
          <w:szCs w:val="18"/>
          <w:vertAlign w:val="superscript"/>
          <w:lang w:val="en-US"/>
        </w:rPr>
        <w:t>15</w:t>
      </w:r>
      <w:r w:rsidRPr="00A715FB">
        <w:rPr>
          <w:rFonts w:ascii="Times New Roman" w:hAnsi="Times New Roman" w:cs="Times New Roman"/>
          <w:sz w:val="24"/>
          <w:szCs w:val="18"/>
          <w:lang w:val="en-US"/>
        </w:rPr>
        <w:t>N</w:t>
      </w:r>
      <w:r w:rsidRPr="00A715FB">
        <w:rPr>
          <w:rFonts w:ascii="Times New Roman" w:hAnsi="Times New Roman" w:cs="Times New Roman"/>
          <w:sz w:val="24"/>
          <w:szCs w:val="18"/>
          <w:vertAlign w:val="subscript"/>
          <w:lang w:val="en-US"/>
        </w:rPr>
        <w:t>animal-diet</w:t>
      </w:r>
      <w:r>
        <w:rPr>
          <w:rFonts w:ascii="Times New Roman" w:hAnsi="Times New Roman" w:cs="Times New Roman"/>
          <w:sz w:val="24"/>
          <w:szCs w:val="18"/>
          <w:lang w:val="en-US"/>
        </w:rPr>
        <w:t xml:space="preserve"> to predict variation</w:t>
      </w:r>
      <w:r w:rsidR="00F3177A">
        <w:rPr>
          <w:rFonts w:ascii="Times New Roman" w:hAnsi="Times New Roman" w:cs="Times New Roman"/>
          <w:sz w:val="24"/>
          <w:szCs w:val="18"/>
          <w:lang w:val="en-US"/>
        </w:rPr>
        <w:t xml:space="preserve"> </w:t>
      </w:r>
      <w:r w:rsidR="00C12FA7">
        <w:rPr>
          <w:rFonts w:ascii="Times New Roman" w:hAnsi="Times New Roman" w:cs="Times New Roman"/>
          <w:sz w:val="24"/>
          <w:szCs w:val="18"/>
          <w:lang w:val="en-US"/>
        </w:rPr>
        <w:t>in</w:t>
      </w:r>
      <w:r>
        <w:rPr>
          <w:rFonts w:ascii="Times New Roman" w:hAnsi="Times New Roman" w:cs="Times New Roman"/>
          <w:sz w:val="24"/>
          <w:szCs w:val="18"/>
          <w:lang w:val="en-US"/>
        </w:rPr>
        <w:t xml:space="preserve"> NUE at the individual level and ii) </w:t>
      </w:r>
      <w:r w:rsidRPr="00A715FB">
        <w:rPr>
          <w:rFonts w:ascii="Times New Roman" w:hAnsi="Times New Roman" w:cs="Times New Roman"/>
          <w:sz w:val="24"/>
          <w:szCs w:val="18"/>
          <w:lang w:val="en-US"/>
        </w:rPr>
        <w:t>disentangle the main mechanisms by which this biomarker is related to NUE</w:t>
      </w:r>
      <w:r>
        <w:rPr>
          <w:rFonts w:ascii="Times New Roman" w:hAnsi="Times New Roman" w:cs="Times New Roman"/>
          <w:sz w:val="24"/>
          <w:szCs w:val="18"/>
          <w:lang w:val="en-US"/>
        </w:rPr>
        <w:t xml:space="preserve">. </w:t>
      </w:r>
    </w:p>
    <w:p w:rsidR="000B7124" w:rsidRDefault="000B7124" w:rsidP="000B71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3"/>
          <w:lang w:val="en-US"/>
        </w:rPr>
      </w:pPr>
    </w:p>
    <w:p w:rsidR="000B7124" w:rsidRDefault="000B7124" w:rsidP="000B71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3"/>
          <w:lang w:val="en-US"/>
        </w:rPr>
      </w:pPr>
      <w:r w:rsidRPr="00782F7D">
        <w:rPr>
          <w:rFonts w:ascii="Times New Roman" w:hAnsi="Times New Roman" w:cs="Times New Roman"/>
          <w:b/>
          <w:bCs/>
          <w:sz w:val="24"/>
          <w:szCs w:val="23"/>
          <w:lang w:val="en-US"/>
        </w:rPr>
        <w:t>Material and methods</w:t>
      </w:r>
    </w:p>
    <w:p w:rsidR="00261768" w:rsidRDefault="00261768" w:rsidP="000B71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3"/>
          <w:lang w:val="en-US"/>
        </w:rPr>
      </w:pPr>
    </w:p>
    <w:p w:rsidR="000B7124" w:rsidRDefault="000B7124" w:rsidP="000B71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3"/>
          <w:lang w:val="en-US"/>
        </w:rPr>
      </w:pPr>
      <w:r>
        <w:rPr>
          <w:rFonts w:ascii="Times New Roman" w:hAnsi="Times New Roman" w:cs="Times New Roman"/>
          <w:bCs/>
          <w:sz w:val="24"/>
          <w:szCs w:val="23"/>
          <w:lang w:val="en-US"/>
        </w:rPr>
        <w:t xml:space="preserve">Eight publications </w:t>
      </w:r>
      <w:r>
        <w:rPr>
          <w:rFonts w:ascii="Times New Roman" w:hAnsi="Times New Roman" w:cs="Times New Roman"/>
          <w:sz w:val="24"/>
          <w:szCs w:val="18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18"/>
          <w:lang w:val="en-US"/>
        </w:rPr>
        <w:t>Cabrita</w:t>
      </w:r>
      <w:proofErr w:type="spellEnd"/>
      <w:r>
        <w:rPr>
          <w:rFonts w:ascii="Times New Roman" w:hAnsi="Times New Roman" w:cs="Times New Roman"/>
          <w:sz w:val="24"/>
          <w:szCs w:val="18"/>
          <w:lang w:val="en-US"/>
        </w:rPr>
        <w:t xml:space="preserve"> </w:t>
      </w:r>
      <w:r w:rsidRPr="00F261F6">
        <w:rPr>
          <w:rFonts w:ascii="Times New Roman" w:hAnsi="Times New Roman" w:cs="Times New Roman"/>
          <w:i/>
          <w:sz w:val="24"/>
          <w:szCs w:val="18"/>
          <w:lang w:val="en-US"/>
        </w:rPr>
        <w:t>et al.,</w:t>
      </w:r>
      <w:r>
        <w:rPr>
          <w:rFonts w:ascii="Times New Roman" w:hAnsi="Times New Roman" w:cs="Times New Roman"/>
          <w:sz w:val="24"/>
          <w:szCs w:val="18"/>
          <w:lang w:val="en-US"/>
        </w:rPr>
        <w:t xml:space="preserve"> 2014; Cantalapiedra-Hijar </w:t>
      </w:r>
      <w:r w:rsidRPr="00F261F6">
        <w:rPr>
          <w:rFonts w:ascii="Times New Roman" w:hAnsi="Times New Roman" w:cs="Times New Roman"/>
          <w:i/>
          <w:sz w:val="24"/>
          <w:szCs w:val="18"/>
          <w:lang w:val="en-US"/>
        </w:rPr>
        <w:t>et al.,</w:t>
      </w:r>
      <w:r>
        <w:rPr>
          <w:rFonts w:ascii="Times New Roman" w:hAnsi="Times New Roman" w:cs="Times New Roman"/>
          <w:sz w:val="24"/>
          <w:szCs w:val="18"/>
          <w:lang w:val="en-US"/>
        </w:rPr>
        <w:t xml:space="preserve"> 2015, 2016; Cheng </w:t>
      </w:r>
      <w:r w:rsidRPr="00F261F6">
        <w:rPr>
          <w:rFonts w:ascii="Times New Roman" w:hAnsi="Times New Roman" w:cs="Times New Roman"/>
          <w:i/>
          <w:sz w:val="24"/>
          <w:szCs w:val="18"/>
          <w:lang w:val="en-US"/>
        </w:rPr>
        <w:t>et al.,</w:t>
      </w:r>
      <w:r>
        <w:rPr>
          <w:rFonts w:ascii="Times New Roman" w:hAnsi="Times New Roman" w:cs="Times New Roman"/>
          <w:sz w:val="24"/>
          <w:szCs w:val="18"/>
          <w:lang w:val="en-US"/>
        </w:rPr>
        <w:t xml:space="preserve"> 2011, 2013a, 2013b, 2014, 2015) </w:t>
      </w:r>
      <w:r>
        <w:rPr>
          <w:rFonts w:ascii="Times New Roman" w:hAnsi="Times New Roman" w:cs="Times New Roman"/>
          <w:bCs/>
          <w:sz w:val="24"/>
          <w:szCs w:val="23"/>
          <w:lang w:val="en-US"/>
        </w:rPr>
        <w:t xml:space="preserve">reporting NUE and </w:t>
      </w:r>
      <w:r w:rsidRPr="00A715FB">
        <w:rPr>
          <w:rFonts w:ascii="Times New Roman" w:hAnsi="Times New Roman" w:cs="Times New Roman"/>
          <w:sz w:val="24"/>
          <w:szCs w:val="18"/>
          <w:lang w:val="en-US"/>
        </w:rPr>
        <w:t>Δ</w:t>
      </w:r>
      <w:r w:rsidRPr="00A715FB">
        <w:rPr>
          <w:rFonts w:ascii="Times New Roman" w:hAnsi="Times New Roman" w:cs="Times New Roman"/>
          <w:sz w:val="24"/>
          <w:szCs w:val="18"/>
          <w:vertAlign w:val="superscript"/>
          <w:lang w:val="en-US"/>
        </w:rPr>
        <w:t>15</w:t>
      </w:r>
      <w:r w:rsidRPr="00A715FB">
        <w:rPr>
          <w:rFonts w:ascii="Times New Roman" w:hAnsi="Times New Roman" w:cs="Times New Roman"/>
          <w:sz w:val="24"/>
          <w:szCs w:val="18"/>
          <w:lang w:val="en-US"/>
        </w:rPr>
        <w:t>N</w:t>
      </w:r>
      <w:r w:rsidRPr="00A715FB">
        <w:rPr>
          <w:rFonts w:ascii="Times New Roman" w:hAnsi="Times New Roman" w:cs="Times New Roman"/>
          <w:sz w:val="24"/>
          <w:szCs w:val="18"/>
          <w:vertAlign w:val="subscript"/>
          <w:lang w:val="en-US"/>
        </w:rPr>
        <w:t>animal-diet</w:t>
      </w:r>
      <w:r>
        <w:rPr>
          <w:rFonts w:ascii="Times New Roman" w:hAnsi="Times New Roman" w:cs="Times New Roman"/>
          <w:sz w:val="24"/>
          <w:szCs w:val="18"/>
          <w:lang w:val="en-US"/>
        </w:rPr>
        <w:t xml:space="preserve"> values in ruminants were analyzed. The</w:t>
      </w:r>
      <w:r w:rsidR="00C12FA7">
        <w:rPr>
          <w:rFonts w:ascii="Times New Roman" w:hAnsi="Times New Roman" w:cs="Times New Roman"/>
          <w:sz w:val="24"/>
          <w:szCs w:val="18"/>
          <w:lang w:val="en-US"/>
        </w:rPr>
        <w:t xml:space="preserve">re were </w:t>
      </w:r>
      <w:r>
        <w:rPr>
          <w:rFonts w:ascii="Times New Roman" w:hAnsi="Times New Roman" w:cs="Times New Roman"/>
          <w:sz w:val="24"/>
          <w:szCs w:val="18"/>
          <w:lang w:val="en-US"/>
        </w:rPr>
        <w:t>11</w:t>
      </w:r>
      <w:r w:rsidR="00261768">
        <w:rPr>
          <w:rFonts w:ascii="Times New Roman" w:hAnsi="Times New Roman" w:cs="Times New Roman"/>
          <w:sz w:val="24"/>
          <w:szCs w:val="18"/>
          <w:lang w:val="en-US"/>
        </w:rPr>
        <w:t xml:space="preserve"> </w:t>
      </w:r>
      <w:r w:rsidR="00C12FA7">
        <w:rPr>
          <w:rFonts w:ascii="Times New Roman" w:hAnsi="Times New Roman" w:cs="Times New Roman"/>
          <w:sz w:val="24"/>
          <w:szCs w:val="18"/>
          <w:lang w:val="en-US"/>
        </w:rPr>
        <w:t>separate experiments</w:t>
      </w:r>
      <w:r>
        <w:rPr>
          <w:rFonts w:ascii="Times New Roman" w:hAnsi="Times New Roman" w:cs="Times New Roman"/>
          <w:sz w:val="24"/>
          <w:szCs w:val="18"/>
          <w:lang w:val="en-US"/>
        </w:rPr>
        <w:t xml:space="preserve">, 42 treatments and individual values for NUE (n = 217) and </w:t>
      </w:r>
      <w:r w:rsidRPr="00A715FB">
        <w:rPr>
          <w:rFonts w:ascii="Times New Roman" w:hAnsi="Times New Roman" w:cs="Times New Roman"/>
          <w:sz w:val="24"/>
          <w:szCs w:val="18"/>
          <w:lang w:val="en-US"/>
        </w:rPr>
        <w:t>Δ</w:t>
      </w:r>
      <w:r w:rsidRPr="00A715FB">
        <w:rPr>
          <w:rFonts w:ascii="Times New Roman" w:hAnsi="Times New Roman" w:cs="Times New Roman"/>
          <w:sz w:val="24"/>
          <w:szCs w:val="18"/>
          <w:vertAlign w:val="superscript"/>
          <w:lang w:val="en-US"/>
        </w:rPr>
        <w:t>15</w:t>
      </w:r>
      <w:r w:rsidRPr="00A715FB">
        <w:rPr>
          <w:rFonts w:ascii="Times New Roman" w:hAnsi="Times New Roman" w:cs="Times New Roman"/>
          <w:sz w:val="24"/>
          <w:szCs w:val="18"/>
          <w:lang w:val="en-US"/>
        </w:rPr>
        <w:t>N</w:t>
      </w:r>
      <w:r w:rsidRPr="00A715FB">
        <w:rPr>
          <w:rFonts w:ascii="Times New Roman" w:hAnsi="Times New Roman" w:cs="Times New Roman"/>
          <w:sz w:val="24"/>
          <w:szCs w:val="18"/>
          <w:vertAlign w:val="subscript"/>
          <w:lang w:val="en-US"/>
        </w:rPr>
        <w:t>animal-diet</w:t>
      </w:r>
      <w:r>
        <w:rPr>
          <w:rFonts w:ascii="Times New Roman" w:hAnsi="Times New Roman" w:cs="Times New Roman"/>
          <w:sz w:val="24"/>
          <w:szCs w:val="1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18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18"/>
          <w:lang w:val="en-US"/>
        </w:rPr>
        <w:t>n</w:t>
      </w:r>
      <w:r w:rsidRPr="008A5D1A">
        <w:rPr>
          <w:rFonts w:ascii="Times New Roman" w:hAnsi="Times New Roman" w:cs="Times New Roman"/>
          <w:sz w:val="24"/>
          <w:szCs w:val="18"/>
          <w:vertAlign w:val="subscript"/>
          <w:lang w:val="en-US"/>
        </w:rPr>
        <w:t>milk</w:t>
      </w:r>
      <w:proofErr w:type="spellEnd"/>
      <w:r>
        <w:rPr>
          <w:rFonts w:ascii="Times New Roman" w:hAnsi="Times New Roman" w:cs="Times New Roman"/>
          <w:sz w:val="24"/>
          <w:szCs w:val="18"/>
          <w:lang w:val="en-US"/>
        </w:rPr>
        <w:t xml:space="preserve"> = 145 and </w:t>
      </w:r>
      <w:proofErr w:type="spellStart"/>
      <w:r>
        <w:rPr>
          <w:rFonts w:ascii="Times New Roman" w:hAnsi="Times New Roman" w:cs="Times New Roman"/>
          <w:sz w:val="24"/>
          <w:szCs w:val="18"/>
          <w:lang w:val="en-US"/>
        </w:rPr>
        <w:t>n</w:t>
      </w:r>
      <w:r w:rsidRPr="008A5D1A">
        <w:rPr>
          <w:rFonts w:ascii="Times New Roman" w:hAnsi="Times New Roman" w:cs="Times New Roman"/>
          <w:sz w:val="24"/>
          <w:szCs w:val="18"/>
          <w:vertAlign w:val="subscript"/>
          <w:lang w:val="en-US"/>
        </w:rPr>
        <w:t>plasma</w:t>
      </w:r>
      <w:proofErr w:type="spellEnd"/>
      <w:r>
        <w:rPr>
          <w:rFonts w:ascii="Times New Roman" w:hAnsi="Times New Roman" w:cs="Times New Roman"/>
          <w:sz w:val="24"/>
          <w:szCs w:val="18"/>
          <w:lang w:val="en-US"/>
        </w:rPr>
        <w:t xml:space="preserve">= 129). Meta-analysis </w:t>
      </w:r>
      <w:r w:rsidR="00C12FA7">
        <w:rPr>
          <w:rFonts w:ascii="Times New Roman" w:hAnsi="Times New Roman" w:cs="Times New Roman"/>
          <w:sz w:val="24"/>
          <w:szCs w:val="18"/>
          <w:lang w:val="en-US"/>
        </w:rPr>
        <w:t>was</w:t>
      </w:r>
      <w:r>
        <w:rPr>
          <w:rFonts w:ascii="Times New Roman" w:hAnsi="Times New Roman" w:cs="Times New Roman"/>
          <w:sz w:val="24"/>
          <w:szCs w:val="18"/>
          <w:lang w:val="en-US"/>
        </w:rPr>
        <w:t xml:space="preserve"> performed by GLM (Minitab v14)</w:t>
      </w:r>
      <w:r w:rsidR="00C12FA7">
        <w:rPr>
          <w:rFonts w:ascii="Times New Roman" w:hAnsi="Times New Roman" w:cs="Times New Roman"/>
          <w:sz w:val="24"/>
          <w:szCs w:val="18"/>
          <w:lang w:val="en-US"/>
        </w:rPr>
        <w:t xml:space="preserve">, adopting </w:t>
      </w:r>
      <w:r>
        <w:rPr>
          <w:rFonts w:ascii="Times New Roman" w:hAnsi="Times New Roman" w:cs="Times New Roman"/>
          <w:sz w:val="24"/>
          <w:szCs w:val="18"/>
          <w:lang w:val="en-US"/>
        </w:rPr>
        <w:t>both between-experiment and within-treatment approach</w:t>
      </w:r>
      <w:r w:rsidR="00C12FA7">
        <w:rPr>
          <w:rFonts w:ascii="Times New Roman" w:hAnsi="Times New Roman" w:cs="Times New Roman"/>
          <w:sz w:val="24"/>
          <w:szCs w:val="18"/>
          <w:lang w:val="en-US"/>
        </w:rPr>
        <w:t>es</w:t>
      </w:r>
      <w:r>
        <w:rPr>
          <w:rFonts w:ascii="Times New Roman" w:hAnsi="Times New Roman" w:cs="Times New Roman"/>
          <w:sz w:val="24"/>
          <w:szCs w:val="18"/>
          <w:lang w:val="en-US"/>
        </w:rPr>
        <w:t xml:space="preserve">. Dietary treatments were characterized </w:t>
      </w:r>
      <w:r w:rsidR="00C12FA7">
        <w:rPr>
          <w:rFonts w:ascii="Times New Roman" w:hAnsi="Times New Roman" w:cs="Times New Roman"/>
          <w:sz w:val="24"/>
          <w:szCs w:val="18"/>
          <w:lang w:val="en-US"/>
        </w:rPr>
        <w:t>using</w:t>
      </w:r>
      <w:r>
        <w:rPr>
          <w:rFonts w:ascii="Times New Roman" w:hAnsi="Times New Roman" w:cs="Times New Roman"/>
          <w:sz w:val="24"/>
          <w:szCs w:val="18"/>
          <w:lang w:val="en-US"/>
        </w:rPr>
        <w:t xml:space="preserve"> the new</w:t>
      </w:r>
      <w:r w:rsidR="00C12FA7">
        <w:rPr>
          <w:rFonts w:ascii="Times New Roman" w:hAnsi="Times New Roman" w:cs="Times New Roman"/>
          <w:sz w:val="24"/>
          <w:szCs w:val="18"/>
          <w:lang w:val="en-US"/>
        </w:rPr>
        <w:t>ly</w:t>
      </w:r>
      <w:r>
        <w:rPr>
          <w:rFonts w:ascii="Times New Roman" w:hAnsi="Times New Roman" w:cs="Times New Roman"/>
          <w:sz w:val="24"/>
          <w:szCs w:val="18"/>
          <w:lang w:val="en-US"/>
        </w:rPr>
        <w:t xml:space="preserve"> updated INRA feeding system and </w:t>
      </w:r>
      <w:r w:rsidR="00C12FA7">
        <w:rPr>
          <w:rFonts w:ascii="Times New Roman" w:hAnsi="Times New Roman" w:cs="Times New Roman"/>
          <w:sz w:val="24"/>
          <w:szCs w:val="18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18"/>
          <w:lang w:val="en-US"/>
        </w:rPr>
        <w:t>main determinants of NUE were analyzed by partial least square (PLS) regression (</w:t>
      </w:r>
      <w:proofErr w:type="spellStart"/>
      <w:r w:rsidRPr="00C572FF">
        <w:rPr>
          <w:rFonts w:ascii="Times New Roman" w:hAnsi="Times New Roman" w:cs="Times New Roman"/>
          <w:sz w:val="24"/>
          <w:szCs w:val="18"/>
          <w:lang w:val="en-US"/>
        </w:rPr>
        <w:t>XLStat</w:t>
      </w:r>
      <w:proofErr w:type="spellEnd"/>
      <w:r>
        <w:rPr>
          <w:rFonts w:ascii="Times New Roman" w:hAnsi="Times New Roman" w:cs="Times New Roman"/>
          <w:sz w:val="24"/>
          <w:szCs w:val="18"/>
          <w:lang w:val="en-US"/>
        </w:rPr>
        <w:t xml:space="preserve"> v2015.2.02). Independent variables were</w:t>
      </w:r>
      <w:r w:rsidR="00C12FA7">
        <w:rPr>
          <w:rFonts w:ascii="Times New Roman" w:hAnsi="Times New Roman" w:cs="Times New Roman"/>
          <w:sz w:val="24"/>
          <w:szCs w:val="18"/>
          <w:lang w:val="en-US"/>
        </w:rPr>
        <w:t>:</w:t>
      </w:r>
      <w:r>
        <w:rPr>
          <w:rFonts w:ascii="Times New Roman" w:hAnsi="Times New Roman" w:cs="Times New Roman"/>
          <w:sz w:val="24"/>
          <w:szCs w:val="18"/>
          <w:lang w:val="en-US"/>
        </w:rPr>
        <w:t xml:space="preserve"> rumen protein balance (</w:t>
      </w:r>
      <w:r w:rsidRPr="00C572FF">
        <w:rPr>
          <w:rFonts w:ascii="Times New Roman" w:hAnsi="Times New Roman" w:cs="Times New Roman"/>
          <w:b/>
          <w:sz w:val="24"/>
          <w:szCs w:val="18"/>
          <w:lang w:val="en-US"/>
        </w:rPr>
        <w:t>RPB</w:t>
      </w:r>
      <w:r>
        <w:rPr>
          <w:rFonts w:ascii="Times New Roman" w:hAnsi="Times New Roman" w:cs="Times New Roman"/>
          <w:sz w:val="24"/>
          <w:szCs w:val="18"/>
          <w:lang w:val="en-US"/>
        </w:rPr>
        <w:t>; g/kg DM), rumen degradable protein (</w:t>
      </w:r>
      <w:r w:rsidRPr="00CB34B4">
        <w:rPr>
          <w:rFonts w:ascii="Times New Roman" w:hAnsi="Times New Roman" w:cs="Times New Roman"/>
          <w:b/>
          <w:sz w:val="24"/>
          <w:szCs w:val="18"/>
          <w:lang w:val="en-US"/>
        </w:rPr>
        <w:t>RDP</w:t>
      </w:r>
      <w:r>
        <w:rPr>
          <w:rFonts w:ascii="Times New Roman" w:hAnsi="Times New Roman" w:cs="Times New Roman"/>
          <w:sz w:val="24"/>
          <w:szCs w:val="18"/>
          <w:lang w:val="en-US"/>
        </w:rPr>
        <w:t>, g/kg DM), efficiency of microbial protein synthesis according to either available energy (</w:t>
      </w:r>
      <w:r w:rsidRPr="00CB34B4">
        <w:rPr>
          <w:rFonts w:ascii="Times New Roman" w:hAnsi="Times New Roman" w:cs="Times New Roman"/>
          <w:b/>
          <w:sz w:val="24"/>
          <w:szCs w:val="18"/>
          <w:lang w:val="en-US"/>
        </w:rPr>
        <w:t>EMPS_E</w:t>
      </w:r>
      <w:r>
        <w:rPr>
          <w:rFonts w:ascii="Times New Roman" w:hAnsi="Times New Roman" w:cs="Times New Roman"/>
          <w:sz w:val="24"/>
          <w:szCs w:val="18"/>
          <w:lang w:val="en-US"/>
        </w:rPr>
        <w:t>, g/g rumen fermentable OM) or available protein (</w:t>
      </w:r>
      <w:r w:rsidRPr="00CB34B4">
        <w:rPr>
          <w:rFonts w:ascii="Times New Roman" w:hAnsi="Times New Roman" w:cs="Times New Roman"/>
          <w:b/>
          <w:sz w:val="24"/>
          <w:szCs w:val="18"/>
          <w:lang w:val="en-US"/>
        </w:rPr>
        <w:t>EMPS_N</w:t>
      </w:r>
      <w:r>
        <w:rPr>
          <w:rFonts w:ascii="Times New Roman" w:hAnsi="Times New Roman" w:cs="Times New Roman"/>
          <w:sz w:val="24"/>
          <w:szCs w:val="18"/>
          <w:lang w:val="en-US"/>
        </w:rPr>
        <w:t>, g /g RDP), the metabolizable protein (</w:t>
      </w:r>
      <w:r w:rsidRPr="00EC45E1">
        <w:rPr>
          <w:rFonts w:ascii="Times New Roman" w:hAnsi="Times New Roman" w:cs="Times New Roman"/>
          <w:b/>
          <w:sz w:val="24"/>
          <w:szCs w:val="18"/>
          <w:lang w:val="en-US"/>
        </w:rPr>
        <w:t>MP</w:t>
      </w:r>
      <w:r>
        <w:rPr>
          <w:rFonts w:ascii="Times New Roman" w:hAnsi="Times New Roman" w:cs="Times New Roman"/>
          <w:sz w:val="24"/>
          <w:szCs w:val="18"/>
          <w:lang w:val="en-US"/>
        </w:rPr>
        <w:t>) to net energy ratio (</w:t>
      </w:r>
      <w:r w:rsidRPr="00CB34B4">
        <w:rPr>
          <w:rFonts w:ascii="Times New Roman" w:hAnsi="Times New Roman" w:cs="Times New Roman"/>
          <w:b/>
          <w:sz w:val="24"/>
          <w:szCs w:val="18"/>
          <w:lang w:val="en-US"/>
        </w:rPr>
        <w:t>MP/NE</w:t>
      </w:r>
      <w:r>
        <w:rPr>
          <w:rFonts w:ascii="Times New Roman" w:hAnsi="Times New Roman" w:cs="Times New Roman"/>
          <w:sz w:val="24"/>
          <w:szCs w:val="18"/>
          <w:lang w:val="en-US"/>
        </w:rPr>
        <w:t>, g MP/M</w:t>
      </w:r>
      <w:r w:rsidR="009C0A76">
        <w:rPr>
          <w:rFonts w:ascii="Times New Roman" w:hAnsi="Times New Roman" w:cs="Times New Roman"/>
          <w:sz w:val="24"/>
          <w:szCs w:val="18"/>
          <w:lang w:val="en-US"/>
        </w:rPr>
        <w:t>J</w:t>
      </w:r>
      <w:r>
        <w:rPr>
          <w:rFonts w:ascii="Times New Roman" w:hAnsi="Times New Roman" w:cs="Times New Roman"/>
          <w:sz w:val="24"/>
          <w:szCs w:val="18"/>
          <w:lang w:val="en-US"/>
        </w:rPr>
        <w:t>), the digestive efficiency of N use (</w:t>
      </w:r>
      <w:r w:rsidRPr="002A1130">
        <w:rPr>
          <w:rFonts w:ascii="Times New Roman" w:hAnsi="Times New Roman" w:cs="Times New Roman"/>
          <w:b/>
          <w:sz w:val="24"/>
          <w:szCs w:val="18"/>
          <w:lang w:val="en-US"/>
        </w:rPr>
        <w:t>DENU</w:t>
      </w:r>
      <w:r>
        <w:rPr>
          <w:rFonts w:ascii="Times New Roman" w:hAnsi="Times New Roman" w:cs="Times New Roman"/>
          <w:sz w:val="24"/>
          <w:szCs w:val="18"/>
          <w:lang w:val="en-US"/>
        </w:rPr>
        <w:t>, g MP/g crude protein), the efficiency of MP utilization for either production (</w:t>
      </w:r>
      <w:proofErr w:type="spellStart"/>
      <w:r w:rsidRPr="00CB34B4">
        <w:rPr>
          <w:rFonts w:ascii="Times New Roman" w:hAnsi="Times New Roman" w:cs="Times New Roman"/>
          <w:b/>
          <w:sz w:val="24"/>
          <w:szCs w:val="18"/>
          <w:lang w:val="en-US"/>
        </w:rPr>
        <w:t>EMPU_prod</w:t>
      </w:r>
      <w:proofErr w:type="spellEnd"/>
      <w:r>
        <w:rPr>
          <w:rFonts w:ascii="Times New Roman" w:hAnsi="Times New Roman" w:cs="Times New Roman"/>
          <w:sz w:val="24"/>
          <w:szCs w:val="18"/>
          <w:lang w:val="en-US"/>
        </w:rPr>
        <w:t>, g</w:t>
      </w:r>
      <w:r w:rsidR="007C1925">
        <w:rPr>
          <w:rFonts w:ascii="Times New Roman" w:hAnsi="Times New Roman" w:cs="Times New Roman"/>
          <w:sz w:val="24"/>
          <w:szCs w:val="18"/>
          <w:lang w:val="en-US"/>
        </w:rPr>
        <w:t xml:space="preserve"> protein in milk or gain</w:t>
      </w:r>
      <w:r>
        <w:rPr>
          <w:rFonts w:ascii="Times New Roman" w:hAnsi="Times New Roman" w:cs="Times New Roman"/>
          <w:sz w:val="24"/>
          <w:szCs w:val="18"/>
          <w:lang w:val="en-US"/>
        </w:rPr>
        <w:t>/g MP) or</w:t>
      </w:r>
      <w:r w:rsidR="00454861">
        <w:rPr>
          <w:rFonts w:ascii="Times New Roman" w:hAnsi="Times New Roman" w:cs="Times New Roman"/>
          <w:sz w:val="24"/>
          <w:szCs w:val="18"/>
          <w:lang w:val="en-US"/>
        </w:rPr>
        <w:t xml:space="preserve"> </w:t>
      </w:r>
      <w:r w:rsidR="005B5471">
        <w:rPr>
          <w:rFonts w:ascii="Times New Roman" w:hAnsi="Times New Roman" w:cs="Times New Roman"/>
          <w:sz w:val="24"/>
          <w:szCs w:val="18"/>
          <w:lang w:val="en-US"/>
        </w:rPr>
        <w:t xml:space="preserve">the sum of </w:t>
      </w:r>
      <w:r w:rsidR="00454861">
        <w:rPr>
          <w:rFonts w:ascii="Times New Roman" w:hAnsi="Times New Roman" w:cs="Times New Roman"/>
          <w:sz w:val="24"/>
          <w:szCs w:val="18"/>
          <w:lang w:val="en-US"/>
        </w:rPr>
        <w:t>product</w:t>
      </w:r>
      <w:r w:rsidR="005B5471">
        <w:rPr>
          <w:rFonts w:ascii="Times New Roman" w:hAnsi="Times New Roman" w:cs="Times New Roman"/>
          <w:sz w:val="24"/>
          <w:szCs w:val="18"/>
          <w:lang w:val="en-US"/>
        </w:rPr>
        <w:t>ion</w:t>
      </w:r>
      <w:r w:rsidR="00454861">
        <w:rPr>
          <w:rFonts w:ascii="Times New Roman" w:hAnsi="Times New Roman" w:cs="Times New Roman"/>
          <w:sz w:val="24"/>
          <w:szCs w:val="18"/>
          <w:lang w:val="en-US"/>
        </w:rPr>
        <w:t xml:space="preserve"> </w:t>
      </w:r>
      <w:r w:rsidR="005B5471">
        <w:rPr>
          <w:rFonts w:ascii="Times New Roman" w:hAnsi="Times New Roman" w:cs="Times New Roman"/>
          <w:sz w:val="24"/>
          <w:szCs w:val="18"/>
          <w:lang w:val="en-US"/>
        </w:rPr>
        <w:t xml:space="preserve">and </w:t>
      </w:r>
      <w:r w:rsidR="00454861">
        <w:rPr>
          <w:rFonts w:ascii="Times New Roman" w:hAnsi="Times New Roman" w:cs="Times New Roman"/>
          <w:sz w:val="24"/>
          <w:szCs w:val="18"/>
          <w:lang w:val="en-US"/>
        </w:rPr>
        <w:t>non-productive</w:t>
      </w:r>
      <w:r w:rsidR="005B5471">
        <w:rPr>
          <w:rFonts w:ascii="Times New Roman" w:hAnsi="Times New Roman" w:cs="Times New Roman"/>
          <w:sz w:val="24"/>
          <w:szCs w:val="18"/>
          <w:lang w:val="en-US"/>
        </w:rPr>
        <w:t xml:space="preserve"> </w:t>
      </w:r>
      <w:r w:rsidR="007C1925">
        <w:rPr>
          <w:rFonts w:ascii="Times New Roman" w:hAnsi="Times New Roman" w:cs="Times New Roman"/>
          <w:sz w:val="24"/>
          <w:szCs w:val="18"/>
          <w:lang w:val="en-US"/>
        </w:rPr>
        <w:t>(</w:t>
      </w:r>
      <w:proofErr w:type="spellStart"/>
      <w:r w:rsidR="007C1925">
        <w:rPr>
          <w:rFonts w:ascii="Times New Roman" w:hAnsi="Times New Roman" w:cs="Times New Roman"/>
          <w:sz w:val="24"/>
          <w:szCs w:val="18"/>
          <w:lang w:val="en-US"/>
        </w:rPr>
        <w:t>Sauvant</w:t>
      </w:r>
      <w:proofErr w:type="spellEnd"/>
      <w:r w:rsidR="007C1925">
        <w:rPr>
          <w:rFonts w:ascii="Times New Roman" w:hAnsi="Times New Roman" w:cs="Times New Roman"/>
          <w:sz w:val="24"/>
          <w:szCs w:val="18"/>
          <w:lang w:val="en-US"/>
        </w:rPr>
        <w:t xml:space="preserve"> et al., 2015) </w:t>
      </w:r>
      <w:r w:rsidR="005B5471">
        <w:rPr>
          <w:rFonts w:ascii="Times New Roman" w:hAnsi="Times New Roman" w:cs="Times New Roman"/>
          <w:sz w:val="24"/>
          <w:szCs w:val="18"/>
          <w:lang w:val="en-US"/>
        </w:rPr>
        <w:t>losses</w:t>
      </w:r>
      <w:r w:rsidR="00ED3EF8">
        <w:rPr>
          <w:rFonts w:ascii="Times New Roman" w:hAnsi="Times New Roman" w:cs="Times New Roman"/>
          <w:sz w:val="24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18"/>
          <w:lang w:val="en-US"/>
        </w:rPr>
        <w:t>(</w:t>
      </w:r>
      <w:proofErr w:type="spellStart"/>
      <w:r w:rsidRPr="00CB34B4">
        <w:rPr>
          <w:rFonts w:ascii="Times New Roman" w:hAnsi="Times New Roman" w:cs="Times New Roman"/>
          <w:b/>
          <w:sz w:val="24"/>
          <w:szCs w:val="18"/>
          <w:lang w:val="en-US"/>
        </w:rPr>
        <w:t>EMPU_absol</w:t>
      </w:r>
      <w:proofErr w:type="spellEnd"/>
      <w:r>
        <w:rPr>
          <w:rFonts w:ascii="Times New Roman" w:hAnsi="Times New Roman" w:cs="Times New Roman"/>
          <w:b/>
          <w:sz w:val="24"/>
          <w:szCs w:val="18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18"/>
          <w:lang w:val="en-US"/>
        </w:rPr>
        <w:t>g/g MP).</w:t>
      </w:r>
      <w:r w:rsidRPr="00CB34B4">
        <w:rPr>
          <w:rFonts w:ascii="Times New Roman" w:hAnsi="Times New Roman" w:cs="Times New Roman"/>
          <w:sz w:val="24"/>
          <w:szCs w:val="18"/>
          <w:lang w:val="en-US"/>
        </w:rPr>
        <w:t xml:space="preserve"> </w:t>
      </w:r>
    </w:p>
    <w:p w:rsidR="00252441" w:rsidRDefault="00252441" w:rsidP="000B71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3"/>
          <w:lang w:val="en-US"/>
        </w:rPr>
      </w:pPr>
    </w:p>
    <w:p w:rsidR="000B7124" w:rsidRDefault="000B7124" w:rsidP="000B71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3"/>
          <w:lang w:val="en-US"/>
        </w:rPr>
      </w:pPr>
      <w:r w:rsidRPr="00782F7D">
        <w:rPr>
          <w:rFonts w:ascii="Times New Roman" w:hAnsi="Times New Roman" w:cs="Times New Roman"/>
          <w:b/>
          <w:bCs/>
          <w:sz w:val="24"/>
          <w:szCs w:val="23"/>
          <w:lang w:val="en-US"/>
        </w:rPr>
        <w:t>Results and discussion</w:t>
      </w:r>
    </w:p>
    <w:p w:rsidR="00261768" w:rsidRPr="00782F7D" w:rsidRDefault="00261768" w:rsidP="000B71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3"/>
          <w:lang w:val="en-US"/>
        </w:rPr>
      </w:pPr>
    </w:p>
    <w:p w:rsidR="00660D97" w:rsidRDefault="00660D97" w:rsidP="000B71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3"/>
          <w:lang w:val="en-US"/>
        </w:rPr>
        <w:sectPr w:rsidR="00660D97" w:rsidSect="00F261F6">
          <w:type w:val="continuous"/>
          <w:pgSz w:w="11906" w:h="16838"/>
          <w:pgMar w:top="709" w:right="1417" w:bottom="1417" w:left="1417" w:header="708" w:footer="708" w:gutter="0"/>
          <w:cols w:space="282"/>
          <w:docGrid w:linePitch="360"/>
        </w:sectPr>
      </w:pPr>
    </w:p>
    <w:p w:rsidR="001B300B" w:rsidRDefault="000B7124" w:rsidP="000B71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3"/>
          <w:lang w:val="en-US"/>
        </w:rPr>
      </w:pPr>
      <w:r>
        <w:rPr>
          <w:rFonts w:ascii="Times New Roman" w:hAnsi="Times New Roman" w:cs="Times New Roman"/>
          <w:bCs/>
          <w:sz w:val="24"/>
          <w:szCs w:val="23"/>
          <w:lang w:val="en-US"/>
        </w:rPr>
        <w:lastRenderedPageBreak/>
        <w:t xml:space="preserve">A </w:t>
      </w:r>
      <w:r w:rsidR="003F52AE">
        <w:rPr>
          <w:rFonts w:ascii="Times New Roman" w:hAnsi="Times New Roman" w:cs="Times New Roman"/>
          <w:bCs/>
          <w:sz w:val="24"/>
          <w:szCs w:val="23"/>
          <w:lang w:val="en-US"/>
        </w:rPr>
        <w:t xml:space="preserve">between-experiment </w:t>
      </w:r>
      <w:r>
        <w:rPr>
          <w:rFonts w:ascii="Times New Roman" w:hAnsi="Times New Roman" w:cs="Times New Roman"/>
          <w:bCs/>
          <w:sz w:val="24"/>
          <w:szCs w:val="23"/>
          <w:lang w:val="en-US"/>
        </w:rPr>
        <w:t>quadratic</w:t>
      </w:r>
      <w:r w:rsidR="00252441">
        <w:rPr>
          <w:rFonts w:ascii="Times New Roman" w:hAnsi="Times New Roman" w:cs="Times New Roman"/>
          <w:bCs/>
          <w:sz w:val="24"/>
          <w:szCs w:val="23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3"/>
          <w:lang w:val="en-US"/>
        </w:rPr>
        <w:t>relationship (</w:t>
      </w:r>
      <w:r w:rsidR="00552C7C" w:rsidRPr="00F261F6">
        <w:rPr>
          <w:rFonts w:ascii="Times New Roman" w:hAnsi="Times New Roman" w:cs="Times New Roman"/>
          <w:bCs/>
          <w:sz w:val="24"/>
          <w:szCs w:val="23"/>
          <w:lang w:val="en-US"/>
        </w:rPr>
        <w:t>P</w:t>
      </w:r>
      <w:r w:rsidR="00552C7C">
        <w:rPr>
          <w:rFonts w:ascii="Times New Roman" w:hAnsi="Times New Roman" w:cs="Times New Roman"/>
          <w:bCs/>
          <w:sz w:val="24"/>
          <w:szCs w:val="23"/>
          <w:lang w:val="en-US"/>
        </w:rPr>
        <w:t xml:space="preserve">&lt;0.001; </w:t>
      </w:r>
      <w:r>
        <w:rPr>
          <w:rFonts w:ascii="Times New Roman" w:hAnsi="Times New Roman" w:cs="Times New Roman"/>
          <w:bCs/>
          <w:sz w:val="24"/>
          <w:szCs w:val="23"/>
          <w:lang w:val="en-US"/>
        </w:rPr>
        <w:t xml:space="preserve">r2 = 0.78; RSE = 0.63) </w:t>
      </w:r>
      <w:r w:rsidRPr="00044905">
        <w:rPr>
          <w:rFonts w:ascii="Times New Roman" w:hAnsi="Times New Roman" w:cs="Times New Roman"/>
          <w:bCs/>
          <w:sz w:val="24"/>
          <w:szCs w:val="23"/>
          <w:lang w:val="en-US"/>
        </w:rPr>
        <w:t>between individual Δ</w:t>
      </w:r>
      <w:r w:rsidRPr="00044905">
        <w:rPr>
          <w:rFonts w:ascii="Times New Roman" w:hAnsi="Times New Roman" w:cs="Times New Roman"/>
          <w:bCs/>
          <w:sz w:val="24"/>
          <w:szCs w:val="23"/>
          <w:vertAlign w:val="superscript"/>
          <w:lang w:val="en-US"/>
        </w:rPr>
        <w:t>15</w:t>
      </w:r>
      <w:r w:rsidRPr="00044905">
        <w:rPr>
          <w:rFonts w:ascii="Times New Roman" w:hAnsi="Times New Roman" w:cs="Times New Roman"/>
          <w:bCs/>
          <w:sz w:val="24"/>
          <w:szCs w:val="23"/>
          <w:lang w:val="en-US"/>
        </w:rPr>
        <w:t>N and NUE values</w:t>
      </w:r>
      <w:r>
        <w:rPr>
          <w:rFonts w:ascii="Times New Roman" w:hAnsi="Times New Roman" w:cs="Times New Roman"/>
          <w:bCs/>
          <w:sz w:val="24"/>
          <w:szCs w:val="23"/>
          <w:lang w:val="en-US"/>
        </w:rPr>
        <w:t xml:space="preserve"> was </w:t>
      </w:r>
      <w:r w:rsidR="009C0A76">
        <w:rPr>
          <w:rFonts w:ascii="Times New Roman" w:hAnsi="Times New Roman" w:cs="Times New Roman"/>
          <w:bCs/>
          <w:sz w:val="24"/>
          <w:szCs w:val="23"/>
          <w:lang w:val="en-US"/>
        </w:rPr>
        <w:t xml:space="preserve">identified </w:t>
      </w:r>
      <w:r w:rsidRPr="00552C7C">
        <w:rPr>
          <w:rFonts w:ascii="Times New Roman" w:hAnsi="Times New Roman" w:cs="Times New Roman"/>
          <w:bCs/>
          <w:sz w:val="24"/>
          <w:szCs w:val="23"/>
          <w:lang w:val="en-US"/>
        </w:rPr>
        <w:t>(</w:t>
      </w:r>
      <w:r w:rsidRPr="00F261F6">
        <w:rPr>
          <w:rFonts w:ascii="Times New Roman" w:hAnsi="Times New Roman" w:cs="Times New Roman"/>
          <w:bCs/>
          <w:sz w:val="24"/>
          <w:szCs w:val="23"/>
          <w:lang w:val="en-US"/>
        </w:rPr>
        <w:t>Fig. 1</w:t>
      </w:r>
      <w:r w:rsidRPr="00552C7C">
        <w:rPr>
          <w:rFonts w:ascii="Times New Roman" w:hAnsi="Times New Roman" w:cs="Times New Roman"/>
          <w:bCs/>
          <w:sz w:val="24"/>
          <w:szCs w:val="23"/>
          <w:lang w:val="en-US"/>
        </w:rPr>
        <w:t>)</w:t>
      </w:r>
      <w:r w:rsidR="00454861">
        <w:rPr>
          <w:rFonts w:ascii="Times New Roman" w:hAnsi="Times New Roman" w:cs="Times New Roman"/>
          <w:bCs/>
          <w:sz w:val="24"/>
          <w:szCs w:val="23"/>
          <w:lang w:val="en-US"/>
        </w:rPr>
        <w:t>,</w:t>
      </w:r>
      <w:r w:rsidRPr="00044905">
        <w:rPr>
          <w:rFonts w:ascii="Times New Roman" w:hAnsi="Times New Roman" w:cs="Times New Roman"/>
          <w:bCs/>
          <w:sz w:val="24"/>
          <w:szCs w:val="23"/>
          <w:lang w:val="en-US"/>
        </w:rPr>
        <w:t xml:space="preserve"> indicat</w:t>
      </w:r>
      <w:r w:rsidR="00454861">
        <w:rPr>
          <w:rFonts w:ascii="Times New Roman" w:hAnsi="Times New Roman" w:cs="Times New Roman"/>
          <w:bCs/>
          <w:sz w:val="24"/>
          <w:szCs w:val="23"/>
          <w:lang w:val="en-US"/>
        </w:rPr>
        <w:t>ing</w:t>
      </w:r>
      <w:r w:rsidRPr="00044905">
        <w:rPr>
          <w:rFonts w:ascii="Times New Roman" w:hAnsi="Times New Roman" w:cs="Times New Roman"/>
          <w:bCs/>
          <w:sz w:val="24"/>
          <w:szCs w:val="23"/>
          <w:lang w:val="en-US"/>
        </w:rPr>
        <w:t xml:space="preserve"> that Δ</w:t>
      </w:r>
      <w:r w:rsidRPr="00044905">
        <w:rPr>
          <w:rFonts w:ascii="Times New Roman" w:hAnsi="Times New Roman" w:cs="Times New Roman"/>
          <w:bCs/>
          <w:sz w:val="24"/>
          <w:szCs w:val="23"/>
          <w:vertAlign w:val="superscript"/>
          <w:lang w:val="en-US"/>
        </w:rPr>
        <w:t>15</w:t>
      </w:r>
      <w:r w:rsidRPr="00044905">
        <w:rPr>
          <w:rFonts w:ascii="Times New Roman" w:hAnsi="Times New Roman" w:cs="Times New Roman"/>
          <w:bCs/>
          <w:sz w:val="24"/>
          <w:szCs w:val="23"/>
          <w:lang w:val="en-US"/>
        </w:rPr>
        <w:t>N</w:t>
      </w:r>
      <w:r w:rsidRPr="007D1334">
        <w:rPr>
          <w:rFonts w:ascii="Times New Roman" w:hAnsi="Times New Roman" w:cs="Times New Roman"/>
          <w:bCs/>
          <w:sz w:val="24"/>
          <w:szCs w:val="23"/>
          <w:vertAlign w:val="subscript"/>
          <w:lang w:val="en-US"/>
        </w:rPr>
        <w:t>animal-diet</w:t>
      </w:r>
      <w:r w:rsidRPr="00044905">
        <w:rPr>
          <w:rFonts w:ascii="Times New Roman" w:hAnsi="Times New Roman" w:cs="Times New Roman"/>
          <w:bCs/>
          <w:sz w:val="24"/>
          <w:szCs w:val="23"/>
          <w:lang w:val="en-US"/>
        </w:rPr>
        <w:t xml:space="preserve"> progressively reaches maximum values as </w:t>
      </w:r>
      <w:r>
        <w:rPr>
          <w:rFonts w:ascii="Times New Roman" w:hAnsi="Times New Roman" w:cs="Times New Roman"/>
          <w:bCs/>
          <w:sz w:val="24"/>
          <w:szCs w:val="23"/>
          <w:lang w:val="en-US"/>
        </w:rPr>
        <w:t>NUE</w:t>
      </w:r>
      <w:r w:rsidRPr="00044905">
        <w:rPr>
          <w:rFonts w:ascii="Times New Roman" w:hAnsi="Times New Roman" w:cs="Times New Roman"/>
          <w:bCs/>
          <w:sz w:val="24"/>
          <w:szCs w:val="23"/>
          <w:lang w:val="en-US"/>
        </w:rPr>
        <w:t xml:space="preserve"> approach</w:t>
      </w:r>
      <w:r w:rsidR="009C0A76">
        <w:rPr>
          <w:rFonts w:ascii="Times New Roman" w:hAnsi="Times New Roman" w:cs="Times New Roman"/>
          <w:bCs/>
          <w:sz w:val="24"/>
          <w:szCs w:val="23"/>
          <w:lang w:val="en-US"/>
        </w:rPr>
        <w:t>es zero</w:t>
      </w:r>
      <w:r w:rsidRPr="00044905">
        <w:rPr>
          <w:rFonts w:ascii="Times New Roman" w:hAnsi="Times New Roman" w:cs="Times New Roman"/>
          <w:bCs/>
          <w:sz w:val="24"/>
          <w:szCs w:val="23"/>
          <w:lang w:val="en-US"/>
        </w:rPr>
        <w:t xml:space="preserve">. </w:t>
      </w:r>
      <w:r>
        <w:rPr>
          <w:rFonts w:ascii="Times New Roman" w:hAnsi="Times New Roman" w:cs="Times New Roman"/>
          <w:bCs/>
          <w:sz w:val="24"/>
          <w:szCs w:val="23"/>
          <w:lang w:val="en-US"/>
        </w:rPr>
        <w:t xml:space="preserve">The within-treatment </w:t>
      </w:r>
      <w:r w:rsidR="007044CF">
        <w:rPr>
          <w:rFonts w:ascii="Times New Roman" w:hAnsi="Times New Roman" w:cs="Times New Roman"/>
          <w:bCs/>
          <w:sz w:val="24"/>
          <w:szCs w:val="23"/>
          <w:lang w:val="en-US"/>
        </w:rPr>
        <w:t xml:space="preserve">linear </w:t>
      </w:r>
      <w:r>
        <w:rPr>
          <w:rFonts w:ascii="Times New Roman" w:hAnsi="Times New Roman" w:cs="Times New Roman"/>
          <w:bCs/>
          <w:sz w:val="24"/>
          <w:szCs w:val="23"/>
          <w:lang w:val="en-US"/>
        </w:rPr>
        <w:t xml:space="preserve">relationship </w:t>
      </w:r>
      <w:r w:rsidRPr="00552C7C">
        <w:rPr>
          <w:rFonts w:ascii="Times New Roman" w:hAnsi="Times New Roman" w:cs="Times New Roman"/>
          <w:bCs/>
          <w:sz w:val="24"/>
          <w:szCs w:val="23"/>
          <w:lang w:val="en-US"/>
        </w:rPr>
        <w:t>(</w:t>
      </w:r>
      <w:r w:rsidR="00E6780C" w:rsidRPr="00F261F6">
        <w:rPr>
          <w:rFonts w:ascii="Times New Roman" w:hAnsi="Times New Roman" w:cs="Times New Roman"/>
          <w:bCs/>
          <w:sz w:val="24"/>
          <w:szCs w:val="23"/>
          <w:lang w:val="en-US"/>
        </w:rPr>
        <w:t>P</w:t>
      </w:r>
      <w:r w:rsidR="00E6780C">
        <w:rPr>
          <w:rFonts w:ascii="Times New Roman" w:hAnsi="Times New Roman" w:cs="Times New Roman"/>
          <w:bCs/>
          <w:sz w:val="24"/>
          <w:szCs w:val="23"/>
          <w:lang w:val="en-US"/>
        </w:rPr>
        <w:t xml:space="preserve">&lt;0.001; </w:t>
      </w:r>
      <w:r w:rsidRPr="00F261F6">
        <w:rPr>
          <w:rFonts w:ascii="Times New Roman" w:hAnsi="Times New Roman" w:cs="Times New Roman"/>
          <w:bCs/>
          <w:sz w:val="24"/>
          <w:szCs w:val="23"/>
          <w:lang w:val="en-US"/>
        </w:rPr>
        <w:t>Fig. 1</w:t>
      </w:r>
      <w:r w:rsidRPr="00552C7C">
        <w:rPr>
          <w:rFonts w:ascii="Times New Roman" w:hAnsi="Times New Roman" w:cs="Times New Roman"/>
          <w:bCs/>
          <w:sz w:val="24"/>
          <w:szCs w:val="23"/>
          <w:lang w:val="en-US"/>
        </w:rPr>
        <w:t>)</w:t>
      </w:r>
      <w:r>
        <w:rPr>
          <w:rFonts w:ascii="Times New Roman" w:hAnsi="Times New Roman" w:cs="Times New Roman"/>
          <w:bCs/>
          <w:sz w:val="24"/>
          <w:szCs w:val="23"/>
          <w:lang w:val="en-US"/>
        </w:rPr>
        <w:t xml:space="preserve"> between individual Δ</w:t>
      </w:r>
      <w:r w:rsidRPr="007A3FBA">
        <w:rPr>
          <w:rFonts w:ascii="Times New Roman" w:hAnsi="Times New Roman" w:cs="Times New Roman"/>
          <w:bCs/>
          <w:sz w:val="24"/>
          <w:szCs w:val="23"/>
          <w:vertAlign w:val="superscript"/>
          <w:lang w:val="en-US"/>
        </w:rPr>
        <w:t>15</w:t>
      </w:r>
      <w:r>
        <w:rPr>
          <w:rFonts w:ascii="Times New Roman" w:hAnsi="Times New Roman" w:cs="Times New Roman"/>
          <w:bCs/>
          <w:sz w:val="24"/>
          <w:szCs w:val="23"/>
          <w:lang w:val="en-US"/>
        </w:rPr>
        <w:t>N and NUE values was significant highlights the potential of this isotopic biomarker to predict between-animal variation</w:t>
      </w:r>
      <w:r w:rsidR="00A47649">
        <w:rPr>
          <w:rFonts w:ascii="Times New Roman" w:hAnsi="Times New Roman" w:cs="Times New Roman"/>
          <w:bCs/>
          <w:sz w:val="24"/>
          <w:szCs w:val="23"/>
          <w:lang w:val="en-US"/>
        </w:rPr>
        <w:t xml:space="preserve"> </w:t>
      </w:r>
      <w:r w:rsidR="009C0A76">
        <w:rPr>
          <w:rFonts w:ascii="Times New Roman" w:hAnsi="Times New Roman" w:cs="Times New Roman"/>
          <w:bCs/>
          <w:sz w:val="24"/>
          <w:szCs w:val="23"/>
          <w:lang w:val="en-US"/>
        </w:rPr>
        <w:t xml:space="preserve">in </w:t>
      </w:r>
      <w:r>
        <w:rPr>
          <w:rFonts w:ascii="Times New Roman" w:hAnsi="Times New Roman" w:cs="Times New Roman"/>
          <w:bCs/>
          <w:sz w:val="24"/>
          <w:szCs w:val="23"/>
          <w:lang w:val="en-US"/>
        </w:rPr>
        <w:t xml:space="preserve">NUE. The proposed PLS model </w:t>
      </w:r>
      <w:r w:rsidR="009C0A76">
        <w:rPr>
          <w:rFonts w:ascii="Times New Roman" w:hAnsi="Times New Roman" w:cs="Times New Roman"/>
          <w:bCs/>
          <w:sz w:val="24"/>
          <w:szCs w:val="23"/>
          <w:lang w:val="en-US"/>
        </w:rPr>
        <w:t xml:space="preserve">made good predictions of </w:t>
      </w:r>
      <w:r>
        <w:rPr>
          <w:rFonts w:ascii="Times New Roman" w:hAnsi="Times New Roman" w:cs="Times New Roman"/>
          <w:bCs/>
          <w:sz w:val="24"/>
          <w:szCs w:val="23"/>
          <w:lang w:val="en-US"/>
        </w:rPr>
        <w:t xml:space="preserve">variation </w:t>
      </w:r>
      <w:r w:rsidR="009C0A76">
        <w:rPr>
          <w:rFonts w:ascii="Times New Roman" w:hAnsi="Times New Roman" w:cs="Times New Roman"/>
          <w:bCs/>
          <w:sz w:val="24"/>
          <w:szCs w:val="23"/>
          <w:lang w:val="en-US"/>
        </w:rPr>
        <w:t>in</w:t>
      </w:r>
      <w:r w:rsidR="0035771A">
        <w:rPr>
          <w:rFonts w:ascii="Times New Roman" w:hAnsi="Times New Roman" w:cs="Times New Roman"/>
          <w:bCs/>
          <w:sz w:val="24"/>
          <w:szCs w:val="23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3"/>
          <w:lang w:val="en-US"/>
        </w:rPr>
        <w:t>Δ</w:t>
      </w:r>
      <w:r w:rsidRPr="00AD39CD">
        <w:rPr>
          <w:rFonts w:ascii="Times New Roman" w:hAnsi="Times New Roman" w:cs="Times New Roman"/>
          <w:bCs/>
          <w:sz w:val="24"/>
          <w:szCs w:val="23"/>
          <w:vertAlign w:val="superscript"/>
          <w:lang w:val="en-US"/>
        </w:rPr>
        <w:t>15</w:t>
      </w:r>
      <w:r>
        <w:rPr>
          <w:rFonts w:ascii="Times New Roman" w:hAnsi="Times New Roman" w:cs="Times New Roman"/>
          <w:bCs/>
          <w:sz w:val="24"/>
          <w:szCs w:val="23"/>
          <w:lang w:val="en-US"/>
        </w:rPr>
        <w:t xml:space="preserve">N </w:t>
      </w:r>
      <w:r w:rsidR="009C0A76">
        <w:rPr>
          <w:rFonts w:ascii="Times New Roman" w:hAnsi="Times New Roman" w:cs="Times New Roman"/>
          <w:bCs/>
          <w:sz w:val="24"/>
          <w:szCs w:val="23"/>
          <w:lang w:val="en-US"/>
        </w:rPr>
        <w:t xml:space="preserve">resulting </w:t>
      </w:r>
      <w:r>
        <w:rPr>
          <w:rFonts w:ascii="Times New Roman" w:hAnsi="Times New Roman" w:cs="Times New Roman"/>
          <w:bCs/>
          <w:sz w:val="24"/>
          <w:szCs w:val="23"/>
          <w:lang w:val="en-US"/>
        </w:rPr>
        <w:t xml:space="preserve">from dietary characteristics (Q2 = 0.88; RMSE = 0.37) and contributed to explain most of the variability </w:t>
      </w:r>
      <w:r w:rsidR="009C0A76">
        <w:rPr>
          <w:rFonts w:ascii="Times New Roman" w:hAnsi="Times New Roman" w:cs="Times New Roman"/>
          <w:bCs/>
          <w:sz w:val="24"/>
          <w:szCs w:val="23"/>
          <w:lang w:val="en-US"/>
        </w:rPr>
        <w:t xml:space="preserve">in </w:t>
      </w:r>
      <w:r>
        <w:rPr>
          <w:rFonts w:ascii="Times New Roman" w:hAnsi="Times New Roman" w:cs="Times New Roman"/>
          <w:bCs/>
          <w:sz w:val="24"/>
          <w:szCs w:val="23"/>
          <w:lang w:val="en-US"/>
        </w:rPr>
        <w:t>observed values (R</w:t>
      </w:r>
      <w:r w:rsidRPr="00AD39CD">
        <w:rPr>
          <w:rFonts w:ascii="Times New Roman" w:hAnsi="Times New Roman" w:cs="Times New Roman"/>
          <w:bCs/>
          <w:sz w:val="24"/>
          <w:szCs w:val="23"/>
          <w:vertAlign w:val="superscript"/>
          <w:lang w:val="en-US"/>
        </w:rPr>
        <w:t>2</w:t>
      </w:r>
      <w:r>
        <w:rPr>
          <w:rFonts w:ascii="Times New Roman" w:hAnsi="Times New Roman" w:cs="Times New Roman"/>
          <w:bCs/>
          <w:sz w:val="24"/>
          <w:szCs w:val="23"/>
          <w:lang w:val="en-US"/>
        </w:rPr>
        <w:t xml:space="preserve">(Y) = 0.91). </w:t>
      </w:r>
    </w:p>
    <w:p w:rsidR="000B7124" w:rsidRDefault="000B7124" w:rsidP="000B71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3"/>
          <w:lang w:val="en-US"/>
        </w:rPr>
      </w:pPr>
      <w:r>
        <w:rPr>
          <w:rFonts w:ascii="Times New Roman" w:hAnsi="Times New Roman" w:cs="Times New Roman"/>
          <w:bCs/>
          <w:sz w:val="24"/>
          <w:szCs w:val="23"/>
          <w:lang w:val="en-US"/>
        </w:rPr>
        <w:t>The most important variables explaining Δ</w:t>
      </w:r>
      <w:r w:rsidRPr="00AD39CD">
        <w:rPr>
          <w:rFonts w:ascii="Times New Roman" w:hAnsi="Times New Roman" w:cs="Times New Roman"/>
          <w:bCs/>
          <w:sz w:val="24"/>
          <w:szCs w:val="23"/>
          <w:vertAlign w:val="superscript"/>
          <w:lang w:val="en-US"/>
        </w:rPr>
        <w:t>15</w:t>
      </w:r>
      <w:r>
        <w:rPr>
          <w:rFonts w:ascii="Times New Roman" w:hAnsi="Times New Roman" w:cs="Times New Roman"/>
          <w:bCs/>
          <w:sz w:val="24"/>
          <w:szCs w:val="23"/>
          <w:lang w:val="en-US"/>
        </w:rPr>
        <w:t>N variation were related to the metabolic efficiency of N use</w:t>
      </w:r>
      <w:r w:rsidR="00CF227E">
        <w:rPr>
          <w:rFonts w:ascii="Times New Roman" w:hAnsi="Times New Roman" w:cs="Times New Roman"/>
          <w:bCs/>
          <w:sz w:val="24"/>
          <w:szCs w:val="23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3"/>
          <w:lang w:val="en-US"/>
        </w:rPr>
        <w:t>(VIP = 1.1</w:t>
      </w:r>
      <w:r w:rsidR="005B5471">
        <w:rPr>
          <w:rFonts w:ascii="Times New Roman" w:hAnsi="Times New Roman" w:cs="Times New Roman"/>
          <w:bCs/>
          <w:sz w:val="24"/>
          <w:szCs w:val="23"/>
          <w:lang w:val="en-US"/>
        </w:rPr>
        <w:t>0-</w:t>
      </w:r>
      <w:r>
        <w:rPr>
          <w:rFonts w:ascii="Times New Roman" w:hAnsi="Times New Roman" w:cs="Times New Roman"/>
          <w:bCs/>
          <w:sz w:val="24"/>
          <w:szCs w:val="23"/>
          <w:lang w:val="en-US"/>
        </w:rPr>
        <w:t>1.1</w:t>
      </w:r>
      <w:r w:rsidR="005B5471">
        <w:rPr>
          <w:rFonts w:ascii="Times New Roman" w:hAnsi="Times New Roman" w:cs="Times New Roman"/>
          <w:bCs/>
          <w:sz w:val="24"/>
          <w:szCs w:val="23"/>
          <w:lang w:val="en-US"/>
        </w:rPr>
        <w:t>9</w:t>
      </w:r>
      <w:r>
        <w:rPr>
          <w:rFonts w:ascii="Times New Roman" w:hAnsi="Times New Roman" w:cs="Times New Roman"/>
          <w:bCs/>
          <w:sz w:val="24"/>
          <w:szCs w:val="23"/>
          <w:lang w:val="en-US"/>
        </w:rPr>
        <w:t xml:space="preserve">) but </w:t>
      </w:r>
      <w:r w:rsidR="009C0A76">
        <w:rPr>
          <w:rFonts w:ascii="Times New Roman" w:hAnsi="Times New Roman" w:cs="Times New Roman"/>
          <w:bCs/>
          <w:sz w:val="24"/>
          <w:szCs w:val="23"/>
          <w:lang w:val="en-US"/>
        </w:rPr>
        <w:lastRenderedPageBreak/>
        <w:t xml:space="preserve">there were also relationships with </w:t>
      </w:r>
      <w:r>
        <w:rPr>
          <w:rFonts w:ascii="Times New Roman" w:hAnsi="Times New Roman" w:cs="Times New Roman"/>
          <w:bCs/>
          <w:sz w:val="24"/>
          <w:szCs w:val="23"/>
          <w:lang w:val="en-US"/>
        </w:rPr>
        <w:t xml:space="preserve">rumen and digestive N use (VIP = 0.85-1.00). </w:t>
      </w:r>
    </w:p>
    <w:p w:rsidR="00F5426A" w:rsidRDefault="00F5426A" w:rsidP="000B7124">
      <w:pPr>
        <w:spacing w:after="0"/>
        <w:jc w:val="both"/>
        <w:rPr>
          <w:rFonts w:ascii="Times New Roman" w:hAnsi="Times New Roman" w:cs="Times New Roman"/>
          <w:bCs/>
          <w:sz w:val="24"/>
          <w:szCs w:val="23"/>
          <w:lang w:val="en-US"/>
        </w:rPr>
      </w:pPr>
    </w:p>
    <w:p w:rsidR="000B7124" w:rsidRPr="00F261F6" w:rsidRDefault="00252441" w:rsidP="000B7124">
      <w:pPr>
        <w:spacing w:after="0"/>
        <w:jc w:val="both"/>
        <w:rPr>
          <w:rFonts w:ascii="Times New Roman" w:hAnsi="Times New Roman" w:cs="Times New Roman"/>
          <w:bCs/>
          <w:sz w:val="24"/>
          <w:szCs w:val="23"/>
          <w:lang w:val="en-US"/>
        </w:rPr>
      </w:pPr>
      <w:r w:rsidRPr="00F261F6">
        <w:rPr>
          <w:rFonts w:ascii="Times New Roman" w:hAnsi="Times New Roman" w:cs="Times New Roman"/>
          <w:bCs/>
          <w:noProof/>
          <w:sz w:val="24"/>
          <w:szCs w:val="23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90267" wp14:editId="39FE1158">
                <wp:simplePos x="0" y="0"/>
                <wp:positionH relativeFrom="column">
                  <wp:posOffset>1927987</wp:posOffset>
                </wp:positionH>
                <wp:positionV relativeFrom="paragraph">
                  <wp:posOffset>102235</wp:posOffset>
                </wp:positionV>
                <wp:extent cx="72000" cy="0"/>
                <wp:effectExtent l="0" t="0" r="2349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1.8pt,8.05pt" to="157.4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" strokecolor="black [3213]" strokeweight="1.5pt"/>
            </w:pict>
          </mc:Fallback>
        </mc:AlternateContent>
      </w:r>
      <w:proofErr w:type="gramStart"/>
      <w:r w:rsidR="000B7124" w:rsidRPr="00F261F6">
        <w:rPr>
          <w:rFonts w:ascii="Times New Roman" w:hAnsi="Times New Roman" w:cs="Times New Roman"/>
          <w:bCs/>
          <w:sz w:val="24"/>
          <w:szCs w:val="23"/>
          <w:lang w:val="en-US"/>
        </w:rPr>
        <w:t>Figure 1.</w:t>
      </w:r>
      <w:proofErr w:type="gramEnd"/>
      <w:r w:rsidR="000B7124" w:rsidRPr="00F261F6">
        <w:rPr>
          <w:rFonts w:ascii="Times New Roman" w:hAnsi="Times New Roman" w:cs="Times New Roman"/>
          <w:bCs/>
          <w:sz w:val="24"/>
          <w:szCs w:val="23"/>
          <w:lang w:val="en-US"/>
        </w:rPr>
        <w:t xml:space="preserve"> </w:t>
      </w:r>
      <w:proofErr w:type="gramStart"/>
      <w:r w:rsidR="000B7124" w:rsidRPr="00F261F6">
        <w:rPr>
          <w:rFonts w:ascii="Times New Roman" w:hAnsi="Times New Roman" w:cs="Times New Roman"/>
          <w:bCs/>
          <w:sz w:val="24"/>
          <w:szCs w:val="23"/>
          <w:lang w:val="en-US"/>
        </w:rPr>
        <w:t>Between-experiment ( ) and within-treatment</w:t>
      </w:r>
      <w:r w:rsidR="00561592">
        <w:rPr>
          <w:rFonts w:ascii="Times New Roman" w:hAnsi="Times New Roman" w:cs="Times New Roman"/>
          <w:bCs/>
          <w:sz w:val="24"/>
          <w:szCs w:val="23"/>
          <w:lang w:val="en-US"/>
        </w:rPr>
        <w:t xml:space="preserve"> </w:t>
      </w:r>
      <w:r w:rsidR="000B7124" w:rsidRPr="00F261F6">
        <w:rPr>
          <w:rFonts w:ascii="Times New Roman" w:hAnsi="Times New Roman" w:cs="Times New Roman"/>
          <w:bCs/>
          <w:sz w:val="24"/>
          <w:szCs w:val="23"/>
          <w:lang w:val="en-US"/>
        </w:rPr>
        <w:t>(</w:t>
      </w:r>
      <w:r w:rsidR="000B7124" w:rsidRPr="00F261F6">
        <w:rPr>
          <w:rFonts w:ascii="Times New Roman" w:hAnsi="Times New Roman" w:cs="Times New Roman"/>
          <w:b/>
          <w:bCs/>
          <w:sz w:val="24"/>
          <w:szCs w:val="23"/>
          <w:lang w:val="en-US"/>
        </w:rPr>
        <w:t>--</w:t>
      </w:r>
      <w:r w:rsidR="000B7124" w:rsidRPr="00F261F6">
        <w:rPr>
          <w:rFonts w:ascii="Times New Roman" w:hAnsi="Times New Roman" w:cs="Times New Roman"/>
          <w:bCs/>
          <w:sz w:val="24"/>
          <w:szCs w:val="23"/>
          <w:lang w:val="en-US"/>
        </w:rPr>
        <w:t xml:space="preserve">) relationships between </w:t>
      </w:r>
      <w:r w:rsidR="00454861">
        <w:rPr>
          <w:rFonts w:ascii="Times New Roman" w:hAnsi="Times New Roman" w:cs="Times New Roman"/>
          <w:bCs/>
          <w:sz w:val="24"/>
          <w:szCs w:val="23"/>
          <w:lang w:val="en-US"/>
        </w:rPr>
        <w:t xml:space="preserve">individual </w:t>
      </w:r>
      <w:r w:rsidR="000B7124" w:rsidRPr="00F261F6">
        <w:rPr>
          <w:rFonts w:ascii="Times New Roman" w:hAnsi="Times New Roman" w:cs="Times New Roman"/>
          <w:bCs/>
          <w:sz w:val="24"/>
          <w:szCs w:val="23"/>
          <w:lang w:val="en-US"/>
        </w:rPr>
        <w:t>Δ</w:t>
      </w:r>
      <w:r w:rsidR="000B7124" w:rsidRPr="00F261F6">
        <w:rPr>
          <w:rFonts w:ascii="Times New Roman" w:hAnsi="Times New Roman" w:cs="Times New Roman"/>
          <w:bCs/>
          <w:sz w:val="24"/>
          <w:szCs w:val="23"/>
          <w:vertAlign w:val="superscript"/>
          <w:lang w:val="en-US"/>
        </w:rPr>
        <w:t>15</w:t>
      </w:r>
      <w:r w:rsidR="000B7124" w:rsidRPr="00F261F6">
        <w:rPr>
          <w:rFonts w:ascii="Times New Roman" w:hAnsi="Times New Roman" w:cs="Times New Roman"/>
          <w:bCs/>
          <w:sz w:val="24"/>
          <w:szCs w:val="23"/>
          <w:lang w:val="en-US"/>
        </w:rPr>
        <w:t>N</w:t>
      </w:r>
      <w:r w:rsidR="000B7124" w:rsidRPr="00F261F6">
        <w:rPr>
          <w:rFonts w:ascii="Times New Roman" w:hAnsi="Times New Roman" w:cs="Times New Roman"/>
          <w:bCs/>
          <w:sz w:val="24"/>
          <w:szCs w:val="23"/>
          <w:vertAlign w:val="subscript"/>
          <w:lang w:val="en-US"/>
        </w:rPr>
        <w:t xml:space="preserve">animal-diet </w:t>
      </w:r>
      <w:r w:rsidR="000B7124" w:rsidRPr="00F261F6">
        <w:rPr>
          <w:rFonts w:ascii="Times New Roman" w:hAnsi="Times New Roman" w:cs="Times New Roman"/>
          <w:bCs/>
          <w:sz w:val="24"/>
          <w:szCs w:val="23"/>
          <w:lang w:val="en-US"/>
        </w:rPr>
        <w:t>and NUE.</w:t>
      </w:r>
      <w:proofErr w:type="gramEnd"/>
    </w:p>
    <w:p w:rsidR="00660D97" w:rsidRDefault="00561592" w:rsidP="00261768">
      <w:pPr>
        <w:spacing w:line="240" w:lineRule="auto"/>
        <w:ind w:left="-142"/>
        <w:rPr>
          <w:lang w:val="en-US"/>
        </w:rPr>
        <w:sectPr w:rsidR="00660D97" w:rsidSect="00F261F6">
          <w:type w:val="continuous"/>
          <w:pgSz w:w="11906" w:h="16838"/>
          <w:pgMar w:top="851" w:right="1417" w:bottom="284" w:left="1417" w:header="708" w:footer="708" w:gutter="0"/>
          <w:cols w:num="2" w:space="282"/>
          <w:docGrid w:linePitch="360"/>
        </w:sectPr>
      </w:pPr>
      <w:r w:rsidRPr="00561592">
        <w:rPr>
          <w:noProof/>
          <w:lang w:val="fr-FR" w:eastAsia="fr-FR"/>
        </w:rPr>
        <w:drawing>
          <wp:inline distT="0" distB="0" distL="0" distR="0" wp14:anchorId="62EC3455" wp14:editId="1AA09924">
            <wp:extent cx="3086100" cy="2083117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8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27E" w:rsidRDefault="00CF227E" w:rsidP="00C03CC3">
      <w:pPr>
        <w:spacing w:after="0" w:line="240" w:lineRule="auto"/>
        <w:rPr>
          <w:lang w:val="en-US"/>
        </w:rPr>
      </w:pPr>
    </w:p>
    <w:p w:rsidR="000B7124" w:rsidRDefault="000B7124" w:rsidP="00C03C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3"/>
          <w:lang w:val="en-US"/>
        </w:rPr>
      </w:pPr>
      <w:r w:rsidRPr="00E120F7">
        <w:rPr>
          <w:rFonts w:ascii="Times New Roman" w:hAnsi="Times New Roman" w:cs="Times New Roman"/>
          <w:b/>
          <w:bCs/>
          <w:sz w:val="24"/>
          <w:szCs w:val="23"/>
          <w:lang w:val="en-US"/>
        </w:rPr>
        <w:t>References</w:t>
      </w:r>
    </w:p>
    <w:p w:rsidR="00261768" w:rsidRPr="00E120F7" w:rsidRDefault="00261768" w:rsidP="00C03C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3"/>
          <w:lang w:val="en-US"/>
        </w:rPr>
      </w:pPr>
    </w:p>
    <w:p w:rsidR="000B7124" w:rsidRPr="00F261F6" w:rsidRDefault="000B7124" w:rsidP="00C03CC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proofErr w:type="gramStart"/>
      <w:r w:rsidRPr="00F261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Cabrita</w:t>
      </w:r>
      <w:proofErr w:type="spellEnd"/>
      <w:r w:rsidRPr="00F261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A.R.J., A.J.M. Fonseca and R. J. Dewhurst, 2014.</w:t>
      </w:r>
      <w:proofErr w:type="gramEnd"/>
      <w:r w:rsidRPr="00F261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Short communication: Relationship between the efficiency of utilization of feed nitrogen and </w:t>
      </w:r>
      <w:r w:rsidRPr="00F261F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>15</w:t>
      </w:r>
      <w:r w:rsidRPr="00F261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 enrichment in casein from lactating dairy cows. Journal of Dairy Science 97(11)</w:t>
      </w:r>
      <w:r w:rsidR="00E678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  <w:r w:rsidRPr="00F261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7225-7229.</w:t>
      </w:r>
    </w:p>
    <w:p w:rsidR="000B7124" w:rsidRPr="00F261F6" w:rsidRDefault="000B7124" w:rsidP="00C03CC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F261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Cantalapiedra-Hijar, G., I. Ortigues-Marty, B. </w:t>
      </w:r>
      <w:proofErr w:type="spellStart"/>
      <w:r w:rsidRPr="00F261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Sepchat</w:t>
      </w:r>
      <w:proofErr w:type="spellEnd"/>
      <w:r w:rsidRPr="00F261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J. </w:t>
      </w:r>
      <w:proofErr w:type="spellStart"/>
      <w:r w:rsidRPr="00F261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Agabriel</w:t>
      </w:r>
      <w:proofErr w:type="spellEnd"/>
      <w:r w:rsidRPr="00F261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J.F. </w:t>
      </w:r>
      <w:proofErr w:type="spellStart"/>
      <w:r w:rsidRPr="00F261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Huneau</w:t>
      </w:r>
      <w:proofErr w:type="spellEnd"/>
      <w:r w:rsidRPr="00F261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 H. Fouillet, 2015.</w:t>
      </w:r>
      <w:proofErr w:type="gramEnd"/>
      <w:r w:rsidRPr="00F261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Diet–animal fractionation of nitrogen stable isotopes reflects the efficiency of nitrogen assimilation in ruminants. British Journal of Nutrition, 113(07)</w:t>
      </w:r>
      <w:r w:rsidR="00E678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  <w:r w:rsidRPr="00F261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1158-1169.</w:t>
      </w:r>
    </w:p>
    <w:p w:rsidR="000B7124" w:rsidRPr="00F261F6" w:rsidRDefault="000B7124" w:rsidP="00C03CC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DF13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Cantalapiedra-Hijar, G., H. Fouillet, J.F. Huneau, A. Fanchone, M. Doreau, P. Nozière and I. Ortigues-Marty, 2016. </w:t>
      </w:r>
      <w:r w:rsidRPr="00F261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Relationship between efficiency of nitrogen utilization and isotopic nitrogen fractionation in dairy cows: contribution of digestion v. metabolism? Animal</w:t>
      </w:r>
      <w:r w:rsidR="004E4BF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10(2)</w:t>
      </w:r>
      <w:r w:rsidR="00E678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  <w:r w:rsidRPr="00F261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E4BF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221-229</w:t>
      </w:r>
      <w:r w:rsidRPr="00F261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0B7124" w:rsidRPr="00F261F6" w:rsidRDefault="000B7124" w:rsidP="00C03CC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F261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Cheng, L., E.J. Kim, R.J. Merry and R.J. Dewhurst, 2011.</w:t>
      </w:r>
      <w:proofErr w:type="gramEnd"/>
      <w:r w:rsidRPr="00F261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Nitrogen partitioning and isotopic fractionation in dairy cows consuming diets based on a range of contrasting forages. Journal of Dairy Science 94(4)</w:t>
      </w:r>
      <w:r w:rsidR="00E678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  <w:r w:rsidRPr="00F261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2031-2041.</w:t>
      </w:r>
    </w:p>
    <w:p w:rsidR="000B7124" w:rsidRPr="00F261F6" w:rsidRDefault="000B7124" w:rsidP="00C03CC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261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Cheng, L., A.J. </w:t>
      </w:r>
      <w:proofErr w:type="spellStart"/>
      <w:r w:rsidRPr="00F261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Sheahan</w:t>
      </w:r>
      <w:proofErr w:type="spellEnd"/>
      <w:r w:rsidRPr="00F261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S.J. Gibbs, A.G. </w:t>
      </w:r>
      <w:proofErr w:type="spellStart"/>
      <w:r w:rsidRPr="00F261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Rius</w:t>
      </w:r>
      <w:proofErr w:type="spellEnd"/>
      <w:r w:rsidRPr="00F261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J.K Kay, S. Meier, G.R. Edwards, R.J. Dewhurst and J.R. Roche, 2013a. Technical note: nitrogen isotopic fractionation can be used to predict nitrogen-use efficiency in dairy cows fed temperate pasture. Journal of Animal Science 91(12)</w:t>
      </w:r>
      <w:r w:rsidR="00E678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  <w:r w:rsidRPr="00F261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5785-5788.</w:t>
      </w:r>
    </w:p>
    <w:p w:rsidR="000B7124" w:rsidRPr="00F261F6" w:rsidRDefault="000B7124" w:rsidP="00C03CC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261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Cheng, L., A.M. Nicol, R.J. Dewhurst and G.R. Edwards, 2013</w:t>
      </w:r>
      <w:r w:rsidR="00BB391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</w:t>
      </w:r>
      <w:r w:rsidRPr="00F261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proofErr w:type="gramStart"/>
      <w:r w:rsidRPr="00F261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effects of dietary nitrogen to water-soluble carbohydrate ratio on isotopic fractionation and partitioning of nitrogen in non-lactating sheep.</w:t>
      </w:r>
      <w:proofErr w:type="gramEnd"/>
      <w:r w:rsidRPr="00F261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Animal 7(08)</w:t>
      </w:r>
      <w:r w:rsidR="00E678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  <w:r w:rsidRPr="00F261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1274-1279.</w:t>
      </w:r>
    </w:p>
    <w:p w:rsidR="000B7124" w:rsidRPr="00F261F6" w:rsidRDefault="000B7124" w:rsidP="00C03CC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F261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Cheng, L., S.L. Woodward, R.J. Dewhurst, H. Zhou and G.R. Edwards, 2014.</w:t>
      </w:r>
      <w:proofErr w:type="gramEnd"/>
      <w:r w:rsidRPr="00F261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Nitrogen partitioning, energy use efficiency and isotopic fractionation measurements from cows differing in genetic merit fed low-quality pasture in late lactation. Animal Production Science 54(10)</w:t>
      </w:r>
      <w:r w:rsidR="00E678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  <w:r w:rsidRPr="00F261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1651-1656.</w:t>
      </w:r>
    </w:p>
    <w:p w:rsidR="00C03CC3" w:rsidRPr="00F261F6" w:rsidRDefault="000B7124" w:rsidP="00C03CC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F261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Cheng, L., G.R. Edwards, R.J. Dewhurst, A.M. Nicol and D. Pacheco, 2015.</w:t>
      </w:r>
      <w:proofErr w:type="gramEnd"/>
      <w:r w:rsidRPr="00F261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 effect of dietary water soluble carbohydrate to nitrogen ratio on nitrogen partitioning and isotopic fractionation of lactating goats offered a high-nitrogen diet. Animal, 1-7.</w:t>
      </w:r>
    </w:p>
    <w:p w:rsidR="00ED3EF8" w:rsidRPr="00F261F6" w:rsidRDefault="000B7124" w:rsidP="00F261F6">
      <w:pPr>
        <w:pStyle w:val="Titre5"/>
        <w:shd w:val="clear" w:color="auto" w:fill="FFFFFF"/>
        <w:spacing w:before="0" w:beforeAutospacing="0" w:after="45" w:afterAutospacing="0" w:line="270" w:lineRule="atLeast"/>
        <w:ind w:left="284" w:hanging="284"/>
        <w:jc w:val="both"/>
        <w:rPr>
          <w:sz w:val="24"/>
          <w:szCs w:val="24"/>
          <w:lang w:val="en-US"/>
        </w:rPr>
      </w:pPr>
      <w:proofErr w:type="gramStart"/>
      <w:r w:rsidRPr="00F261F6">
        <w:rPr>
          <w:b w:val="0"/>
          <w:sz w:val="24"/>
          <w:szCs w:val="24"/>
          <w:lang w:val="en-US"/>
        </w:rPr>
        <w:t xml:space="preserve">Sauvant, D. </w:t>
      </w:r>
      <w:r w:rsidR="00ED3EF8" w:rsidRPr="00F261F6">
        <w:rPr>
          <w:b w:val="0"/>
          <w:sz w:val="24"/>
          <w:szCs w:val="24"/>
          <w:lang w:val="en-US"/>
        </w:rPr>
        <w:t xml:space="preserve">G. Cantalapiedra-Hijar, L. </w:t>
      </w:r>
      <w:proofErr w:type="spellStart"/>
      <w:r w:rsidR="00ED3EF8" w:rsidRPr="00F261F6">
        <w:rPr>
          <w:b w:val="0"/>
          <w:sz w:val="24"/>
          <w:szCs w:val="24"/>
          <w:lang w:val="en-US"/>
        </w:rPr>
        <w:t>Delaby</w:t>
      </w:r>
      <w:proofErr w:type="spellEnd"/>
      <w:r w:rsidR="00ED3EF8" w:rsidRPr="00F261F6">
        <w:rPr>
          <w:b w:val="0"/>
          <w:sz w:val="24"/>
          <w:szCs w:val="24"/>
          <w:lang w:val="en-US"/>
        </w:rPr>
        <w:t xml:space="preserve">, P. </w:t>
      </w:r>
      <w:proofErr w:type="spellStart"/>
      <w:r w:rsidR="00ED3EF8" w:rsidRPr="00F261F6">
        <w:rPr>
          <w:b w:val="0"/>
          <w:sz w:val="24"/>
          <w:szCs w:val="24"/>
          <w:lang w:val="en-US"/>
        </w:rPr>
        <w:t>Faverdin</w:t>
      </w:r>
      <w:proofErr w:type="spellEnd"/>
      <w:r w:rsidR="00ED3EF8" w:rsidRPr="00F261F6">
        <w:rPr>
          <w:b w:val="0"/>
          <w:sz w:val="24"/>
          <w:szCs w:val="24"/>
          <w:lang w:val="en-US"/>
        </w:rPr>
        <w:t xml:space="preserve"> </w:t>
      </w:r>
      <w:r w:rsidRPr="00F261F6">
        <w:rPr>
          <w:b w:val="0"/>
          <w:sz w:val="24"/>
          <w:szCs w:val="24"/>
          <w:lang w:val="en-US"/>
        </w:rPr>
        <w:t xml:space="preserve">and P. </w:t>
      </w:r>
      <w:proofErr w:type="spellStart"/>
      <w:r w:rsidRPr="00F261F6">
        <w:rPr>
          <w:b w:val="0"/>
          <w:sz w:val="24"/>
          <w:szCs w:val="24"/>
          <w:lang w:val="en-US"/>
        </w:rPr>
        <w:t>Nozière</w:t>
      </w:r>
      <w:proofErr w:type="spellEnd"/>
      <w:r w:rsidRPr="00F261F6">
        <w:rPr>
          <w:b w:val="0"/>
          <w:sz w:val="24"/>
          <w:szCs w:val="24"/>
          <w:lang w:val="en-US"/>
        </w:rPr>
        <w:t>, 2015.</w:t>
      </w:r>
      <w:proofErr w:type="gramEnd"/>
      <w:r w:rsidRPr="00F261F6">
        <w:rPr>
          <w:b w:val="0"/>
          <w:sz w:val="24"/>
          <w:szCs w:val="24"/>
          <w:lang w:val="en-US"/>
        </w:rPr>
        <w:t xml:space="preserve"> </w:t>
      </w:r>
      <w:r w:rsidR="00AF3AC1">
        <w:fldChar w:fldCharType="begin"/>
      </w:r>
      <w:r w:rsidR="00AF3AC1" w:rsidRPr="00DF138B">
        <w:rPr>
          <w:lang w:val="en-US"/>
        </w:rPr>
        <w:instrText xml:space="preserve"> HYPERLINK "https://www.researchgate.net/publication/299449803_Updating_protein_requirements_in_ruminants_and_determination_of_the_responses_of_lactating_females_to_metabolisable_pr</w:instrText>
      </w:r>
      <w:r w:rsidR="00AF3AC1" w:rsidRPr="00DF138B">
        <w:rPr>
          <w:lang w:val="en-US"/>
        </w:rPr>
        <w:instrText xml:space="preserve">otein_supply?ev=prf_pub" </w:instrText>
      </w:r>
      <w:r w:rsidR="00AF3AC1">
        <w:fldChar w:fldCharType="separate"/>
      </w:r>
      <w:proofErr w:type="gramStart"/>
      <w:r w:rsidR="00ED3EF8" w:rsidRPr="00F261F6">
        <w:rPr>
          <w:b w:val="0"/>
          <w:bCs w:val="0"/>
          <w:sz w:val="24"/>
          <w:szCs w:val="24"/>
          <w:lang w:val="en-US"/>
        </w:rPr>
        <w:t xml:space="preserve">Updating protein requirements in ruminants and determination of the responses of lactating females to </w:t>
      </w:r>
      <w:proofErr w:type="spellStart"/>
      <w:r w:rsidR="00ED3EF8" w:rsidRPr="00F261F6">
        <w:rPr>
          <w:b w:val="0"/>
          <w:bCs w:val="0"/>
          <w:sz w:val="24"/>
          <w:szCs w:val="24"/>
          <w:lang w:val="en-US"/>
        </w:rPr>
        <w:t>metabolisable</w:t>
      </w:r>
      <w:proofErr w:type="spellEnd"/>
      <w:r w:rsidR="00ED3EF8" w:rsidRPr="00F261F6">
        <w:rPr>
          <w:b w:val="0"/>
          <w:bCs w:val="0"/>
          <w:sz w:val="24"/>
          <w:szCs w:val="24"/>
          <w:lang w:val="en-US"/>
        </w:rPr>
        <w:t xml:space="preserve"> protein supply</w:t>
      </w:r>
      <w:r w:rsidR="00AF3AC1">
        <w:rPr>
          <w:b w:val="0"/>
          <w:bCs w:val="0"/>
          <w:sz w:val="24"/>
          <w:szCs w:val="24"/>
          <w:lang w:val="en-US"/>
        </w:rPr>
        <w:fldChar w:fldCharType="end"/>
      </w:r>
      <w:r w:rsidR="00ED3EF8">
        <w:rPr>
          <w:b w:val="0"/>
          <w:bCs w:val="0"/>
          <w:sz w:val="24"/>
          <w:szCs w:val="24"/>
          <w:lang w:val="en-US"/>
        </w:rPr>
        <w:t>.</w:t>
      </w:r>
      <w:proofErr w:type="gramEnd"/>
      <w:r w:rsidR="00ED3EF8">
        <w:rPr>
          <w:b w:val="0"/>
          <w:bCs w:val="0"/>
          <w:sz w:val="24"/>
          <w:szCs w:val="24"/>
          <w:lang w:val="en-US"/>
        </w:rPr>
        <w:t xml:space="preserve"> INRA Productions </w:t>
      </w:r>
      <w:proofErr w:type="spellStart"/>
      <w:r w:rsidR="00ED3EF8">
        <w:rPr>
          <w:b w:val="0"/>
          <w:bCs w:val="0"/>
          <w:sz w:val="24"/>
          <w:szCs w:val="24"/>
          <w:lang w:val="en-US"/>
        </w:rPr>
        <w:t>Animales</w:t>
      </w:r>
      <w:proofErr w:type="spellEnd"/>
      <w:r w:rsidR="00ED3EF8">
        <w:rPr>
          <w:b w:val="0"/>
          <w:bCs w:val="0"/>
          <w:sz w:val="24"/>
          <w:szCs w:val="24"/>
          <w:lang w:val="en-US"/>
        </w:rPr>
        <w:t xml:space="preserve"> </w:t>
      </w:r>
      <w:r w:rsidR="00ED3EF8" w:rsidRPr="00F261F6">
        <w:rPr>
          <w:b w:val="0"/>
          <w:bCs w:val="0"/>
          <w:sz w:val="24"/>
          <w:szCs w:val="24"/>
          <w:lang w:val="en-US"/>
        </w:rPr>
        <w:t>28(5)</w:t>
      </w:r>
      <w:r w:rsidR="00E6780C">
        <w:rPr>
          <w:b w:val="0"/>
          <w:bCs w:val="0"/>
          <w:sz w:val="24"/>
          <w:szCs w:val="24"/>
          <w:lang w:val="en-US"/>
        </w:rPr>
        <w:t>:</w:t>
      </w:r>
      <w:r w:rsidR="00E5540A">
        <w:rPr>
          <w:b w:val="0"/>
          <w:bCs w:val="0"/>
          <w:sz w:val="24"/>
          <w:szCs w:val="24"/>
          <w:lang w:val="en-US"/>
        </w:rPr>
        <w:t xml:space="preserve"> </w:t>
      </w:r>
      <w:r w:rsidR="00ED3EF8" w:rsidRPr="00F261F6">
        <w:rPr>
          <w:b w:val="0"/>
          <w:bCs w:val="0"/>
          <w:sz w:val="24"/>
          <w:szCs w:val="24"/>
          <w:lang w:val="en-US"/>
        </w:rPr>
        <w:t>347-367</w:t>
      </w:r>
      <w:r w:rsidR="00E5540A" w:rsidRPr="00F261F6">
        <w:rPr>
          <w:b w:val="0"/>
          <w:sz w:val="24"/>
          <w:szCs w:val="24"/>
          <w:lang w:val="en-US"/>
        </w:rPr>
        <w:t>.</w:t>
      </w:r>
    </w:p>
    <w:sectPr w:rsidR="00ED3EF8" w:rsidRPr="00F261F6" w:rsidSect="00261768">
      <w:type w:val="continuous"/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AC1" w:rsidRDefault="00AF3AC1" w:rsidP="000B7124">
      <w:pPr>
        <w:spacing w:after="0" w:line="240" w:lineRule="auto"/>
      </w:pPr>
      <w:r>
        <w:separator/>
      </w:r>
    </w:p>
  </w:endnote>
  <w:endnote w:type="continuationSeparator" w:id="0">
    <w:p w:rsidR="00AF3AC1" w:rsidRDefault="00AF3AC1" w:rsidP="000B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AC1" w:rsidRDefault="00AF3AC1" w:rsidP="000B7124">
      <w:pPr>
        <w:spacing w:after="0" w:line="240" w:lineRule="auto"/>
      </w:pPr>
      <w:r>
        <w:separator/>
      </w:r>
    </w:p>
  </w:footnote>
  <w:footnote w:type="continuationSeparator" w:id="0">
    <w:p w:rsidR="00AF3AC1" w:rsidRDefault="00AF3AC1" w:rsidP="000B7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24"/>
    <w:rsid w:val="000811D2"/>
    <w:rsid w:val="000B04F0"/>
    <w:rsid w:val="000B7124"/>
    <w:rsid w:val="000E2D51"/>
    <w:rsid w:val="00103347"/>
    <w:rsid w:val="001B300B"/>
    <w:rsid w:val="00252441"/>
    <w:rsid w:val="00261768"/>
    <w:rsid w:val="002E49E7"/>
    <w:rsid w:val="00340BAA"/>
    <w:rsid w:val="0035771A"/>
    <w:rsid w:val="003D3D18"/>
    <w:rsid w:val="003F52AE"/>
    <w:rsid w:val="00402861"/>
    <w:rsid w:val="0041453F"/>
    <w:rsid w:val="00440E28"/>
    <w:rsid w:val="00454861"/>
    <w:rsid w:val="004E4BF2"/>
    <w:rsid w:val="00504EAD"/>
    <w:rsid w:val="00552C7C"/>
    <w:rsid w:val="00561592"/>
    <w:rsid w:val="0057337E"/>
    <w:rsid w:val="0058557C"/>
    <w:rsid w:val="005B5471"/>
    <w:rsid w:val="00627AC3"/>
    <w:rsid w:val="00660D97"/>
    <w:rsid w:val="007044CF"/>
    <w:rsid w:val="00717100"/>
    <w:rsid w:val="0074090F"/>
    <w:rsid w:val="00743C6B"/>
    <w:rsid w:val="0076182C"/>
    <w:rsid w:val="007C1925"/>
    <w:rsid w:val="007C1EC9"/>
    <w:rsid w:val="00890C32"/>
    <w:rsid w:val="00892F14"/>
    <w:rsid w:val="009531B7"/>
    <w:rsid w:val="009B5CDF"/>
    <w:rsid w:val="009C0A76"/>
    <w:rsid w:val="009F4D0C"/>
    <w:rsid w:val="00A47649"/>
    <w:rsid w:val="00AD4B7C"/>
    <w:rsid w:val="00AE0026"/>
    <w:rsid w:val="00AF3AC1"/>
    <w:rsid w:val="00B15642"/>
    <w:rsid w:val="00BA0E72"/>
    <w:rsid w:val="00BB391D"/>
    <w:rsid w:val="00BE4E57"/>
    <w:rsid w:val="00C03CC3"/>
    <w:rsid w:val="00C12FA7"/>
    <w:rsid w:val="00CF227E"/>
    <w:rsid w:val="00D10D1E"/>
    <w:rsid w:val="00D174A2"/>
    <w:rsid w:val="00DF138B"/>
    <w:rsid w:val="00E25178"/>
    <w:rsid w:val="00E34814"/>
    <w:rsid w:val="00E352D1"/>
    <w:rsid w:val="00E50D46"/>
    <w:rsid w:val="00E5540A"/>
    <w:rsid w:val="00E60788"/>
    <w:rsid w:val="00E6780C"/>
    <w:rsid w:val="00ED3EF8"/>
    <w:rsid w:val="00EE5551"/>
    <w:rsid w:val="00F23E72"/>
    <w:rsid w:val="00F261F6"/>
    <w:rsid w:val="00F3177A"/>
    <w:rsid w:val="00F5426A"/>
    <w:rsid w:val="00FA1DDF"/>
    <w:rsid w:val="00FE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124"/>
    <w:rPr>
      <w:lang w:val="es-ES_tradnl"/>
    </w:rPr>
  </w:style>
  <w:style w:type="paragraph" w:styleId="Titre5">
    <w:name w:val="heading 5"/>
    <w:basedOn w:val="Normal"/>
    <w:link w:val="Titre5Car"/>
    <w:uiPriority w:val="9"/>
    <w:qFormat/>
    <w:rsid w:val="00ED3E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B7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B712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7124"/>
    <w:rPr>
      <w:rFonts w:ascii="Tahoma" w:hAnsi="Tahoma" w:cs="Tahoma"/>
      <w:sz w:val="16"/>
      <w:szCs w:val="16"/>
      <w:lang w:val="es-ES_tradnl"/>
    </w:rPr>
  </w:style>
  <w:style w:type="paragraph" w:styleId="En-tte">
    <w:name w:val="header"/>
    <w:basedOn w:val="Normal"/>
    <w:link w:val="En-tteCar"/>
    <w:uiPriority w:val="99"/>
    <w:unhideWhenUsed/>
    <w:rsid w:val="000B7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7124"/>
    <w:rPr>
      <w:lang w:val="es-ES_tradnl"/>
    </w:rPr>
  </w:style>
  <w:style w:type="paragraph" w:styleId="Pieddepage">
    <w:name w:val="footer"/>
    <w:basedOn w:val="Normal"/>
    <w:link w:val="PieddepageCar"/>
    <w:uiPriority w:val="99"/>
    <w:unhideWhenUsed/>
    <w:rsid w:val="000B7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7124"/>
    <w:rPr>
      <w:lang w:val="es-ES_tradnl"/>
    </w:rPr>
  </w:style>
  <w:style w:type="paragraph" w:styleId="Rvision">
    <w:name w:val="Revision"/>
    <w:hidden/>
    <w:uiPriority w:val="99"/>
    <w:semiHidden/>
    <w:rsid w:val="00FE6452"/>
    <w:pPr>
      <w:spacing w:after="0" w:line="240" w:lineRule="auto"/>
    </w:pPr>
    <w:rPr>
      <w:lang w:val="es-ES_tradnl"/>
    </w:rPr>
  </w:style>
  <w:style w:type="character" w:styleId="Marquedecommentaire">
    <w:name w:val="annotation reference"/>
    <w:basedOn w:val="Policepardfaut"/>
    <w:uiPriority w:val="99"/>
    <w:semiHidden/>
    <w:unhideWhenUsed/>
    <w:rsid w:val="002617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6176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61768"/>
    <w:rPr>
      <w:sz w:val="20"/>
      <w:szCs w:val="20"/>
      <w:lang w:val="es-ES_trad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17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1768"/>
    <w:rPr>
      <w:b/>
      <w:bCs/>
      <w:sz w:val="20"/>
      <w:szCs w:val="20"/>
      <w:lang w:val="es-ES_tradnl"/>
    </w:rPr>
  </w:style>
  <w:style w:type="character" w:customStyle="1" w:styleId="Titre5Car">
    <w:name w:val="Titre 5 Car"/>
    <w:basedOn w:val="Policepardfaut"/>
    <w:link w:val="Titre5"/>
    <w:uiPriority w:val="9"/>
    <w:rsid w:val="00ED3EF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publication-title">
    <w:name w:val="publication-title"/>
    <w:basedOn w:val="Policepardfaut"/>
    <w:rsid w:val="00ED3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124"/>
    <w:rPr>
      <w:lang w:val="es-ES_tradnl"/>
    </w:rPr>
  </w:style>
  <w:style w:type="paragraph" w:styleId="Titre5">
    <w:name w:val="heading 5"/>
    <w:basedOn w:val="Normal"/>
    <w:link w:val="Titre5Car"/>
    <w:uiPriority w:val="9"/>
    <w:qFormat/>
    <w:rsid w:val="00ED3E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B7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B712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7124"/>
    <w:rPr>
      <w:rFonts w:ascii="Tahoma" w:hAnsi="Tahoma" w:cs="Tahoma"/>
      <w:sz w:val="16"/>
      <w:szCs w:val="16"/>
      <w:lang w:val="es-ES_tradnl"/>
    </w:rPr>
  </w:style>
  <w:style w:type="paragraph" w:styleId="En-tte">
    <w:name w:val="header"/>
    <w:basedOn w:val="Normal"/>
    <w:link w:val="En-tteCar"/>
    <w:uiPriority w:val="99"/>
    <w:unhideWhenUsed/>
    <w:rsid w:val="000B7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7124"/>
    <w:rPr>
      <w:lang w:val="es-ES_tradnl"/>
    </w:rPr>
  </w:style>
  <w:style w:type="paragraph" w:styleId="Pieddepage">
    <w:name w:val="footer"/>
    <w:basedOn w:val="Normal"/>
    <w:link w:val="PieddepageCar"/>
    <w:uiPriority w:val="99"/>
    <w:unhideWhenUsed/>
    <w:rsid w:val="000B7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7124"/>
    <w:rPr>
      <w:lang w:val="es-ES_tradnl"/>
    </w:rPr>
  </w:style>
  <w:style w:type="paragraph" w:styleId="Rvision">
    <w:name w:val="Revision"/>
    <w:hidden/>
    <w:uiPriority w:val="99"/>
    <w:semiHidden/>
    <w:rsid w:val="00FE6452"/>
    <w:pPr>
      <w:spacing w:after="0" w:line="240" w:lineRule="auto"/>
    </w:pPr>
    <w:rPr>
      <w:lang w:val="es-ES_tradnl"/>
    </w:rPr>
  </w:style>
  <w:style w:type="character" w:styleId="Marquedecommentaire">
    <w:name w:val="annotation reference"/>
    <w:basedOn w:val="Policepardfaut"/>
    <w:uiPriority w:val="99"/>
    <w:semiHidden/>
    <w:unhideWhenUsed/>
    <w:rsid w:val="002617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6176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61768"/>
    <w:rPr>
      <w:sz w:val="20"/>
      <w:szCs w:val="20"/>
      <w:lang w:val="es-ES_trad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17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1768"/>
    <w:rPr>
      <w:b/>
      <w:bCs/>
      <w:sz w:val="20"/>
      <w:szCs w:val="20"/>
      <w:lang w:val="es-ES_tradnl"/>
    </w:rPr>
  </w:style>
  <w:style w:type="character" w:customStyle="1" w:styleId="Titre5Car">
    <w:name w:val="Titre 5 Car"/>
    <w:basedOn w:val="Policepardfaut"/>
    <w:link w:val="Titre5"/>
    <w:uiPriority w:val="9"/>
    <w:rsid w:val="00ED3EF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publication-title">
    <w:name w:val="publication-title"/>
    <w:basedOn w:val="Policepardfaut"/>
    <w:rsid w:val="00ED3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gonzalo.cantalapiedra@clermont.inra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1098</Words>
  <Characters>6039</Characters>
  <Application>Microsoft Office Word</Application>
  <DocSecurity>0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</dc:creator>
  <cp:lastModifiedBy>Gonzalo</cp:lastModifiedBy>
  <cp:revision>5</cp:revision>
  <dcterms:created xsi:type="dcterms:W3CDTF">2016-04-09T20:20:00Z</dcterms:created>
  <dcterms:modified xsi:type="dcterms:W3CDTF">2016-04-29T08:23:00Z</dcterms:modified>
</cp:coreProperties>
</file>