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9" w:rsidRPr="005467B8" w:rsidRDefault="009A4809" w:rsidP="005467B8">
      <w:pPr>
        <w:pStyle w:val="Sansinterligne"/>
        <w:spacing w:line="480" w:lineRule="auto"/>
        <w:jc w:val="both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sz w:val="32"/>
          <w:szCs w:val="36"/>
          <w:lang w:val="en-US"/>
        </w:rPr>
        <w:t>I</w:t>
      </w:r>
      <w:r w:rsidRPr="00B10F4B">
        <w:rPr>
          <w:rFonts w:ascii="Times New Roman" w:hAnsi="Times New Roman"/>
          <w:b/>
          <w:noProof/>
          <w:sz w:val="32"/>
          <w:szCs w:val="36"/>
          <w:lang w:val="en-US"/>
        </w:rPr>
        <w:t>nterfacial behavior</w:t>
      </w:r>
      <w:r>
        <w:rPr>
          <w:rFonts w:ascii="Times New Roman" w:hAnsi="Times New Roman"/>
          <w:b/>
          <w:noProof/>
          <w:sz w:val="32"/>
          <w:szCs w:val="36"/>
          <w:lang w:val="en-US"/>
        </w:rPr>
        <w:t xml:space="preserve"> of milk polar lipids</w:t>
      </w:r>
      <w:r w:rsidRPr="00B10F4B">
        <w:rPr>
          <w:rFonts w:ascii="Times New Roman" w:hAnsi="Times New Roman"/>
          <w:b/>
          <w:noProof/>
          <w:sz w:val="32"/>
          <w:szCs w:val="36"/>
          <w:lang w:val="en-US"/>
        </w:rPr>
        <w:t xml:space="preserve"> and their influence on gastric lipase adsorption</w:t>
      </w:r>
      <w:r>
        <w:rPr>
          <w:rFonts w:ascii="Times New Roman" w:hAnsi="Times New Roman"/>
          <w:b/>
          <w:noProof/>
          <w:sz w:val="32"/>
          <w:szCs w:val="36"/>
          <w:lang w:val="en-US"/>
        </w:rPr>
        <w:t>:</w:t>
      </w:r>
      <w:r w:rsidRPr="008147B8">
        <w:rPr>
          <w:rFonts w:ascii="Times New Roman" w:hAnsi="Times New Roman"/>
          <w:b/>
          <w:noProof/>
          <w:sz w:val="32"/>
          <w:szCs w:val="36"/>
          <w:lang w:val="en-US"/>
        </w:rPr>
        <w:t xml:space="preserve"> </w:t>
      </w:r>
      <w:r>
        <w:rPr>
          <w:rFonts w:ascii="Times New Roman" w:hAnsi="Times New Roman"/>
          <w:b/>
          <w:noProof/>
          <w:sz w:val="32"/>
          <w:szCs w:val="36"/>
          <w:lang w:val="en-US"/>
        </w:rPr>
        <w:t>a natural effective delivery system</w:t>
      </w:r>
    </w:p>
    <w:p w:rsidR="009A4809" w:rsidRPr="00D0690D" w:rsidRDefault="009A4809" w:rsidP="008147B8">
      <w:pPr>
        <w:spacing w:after="120"/>
        <w:rPr>
          <w:rFonts w:ascii="Times New Roman" w:hAnsi="Times New Roman"/>
          <w:bCs/>
          <w:i/>
          <w:lang w:val="fr-FR"/>
        </w:rPr>
      </w:pPr>
      <w:r w:rsidRPr="00D0690D">
        <w:rPr>
          <w:rFonts w:ascii="Times New Roman" w:hAnsi="Times New Roman"/>
          <w:bCs/>
          <w:i/>
          <w:lang w:val="fr-FR"/>
        </w:rPr>
        <w:t>C. Bourlieu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1,2,5</w:t>
      </w:r>
      <w:r w:rsidRPr="00D0690D">
        <w:rPr>
          <w:rFonts w:ascii="Times New Roman" w:hAnsi="Times New Roman"/>
          <w:bCs/>
          <w:i/>
          <w:lang w:val="fr-FR"/>
        </w:rPr>
        <w:t>*, W. Mahdoueni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</w:t>
      </w:r>
      <w:r w:rsidRPr="00D0690D">
        <w:rPr>
          <w:rFonts w:ascii="Times New Roman" w:hAnsi="Times New Roman"/>
          <w:bCs/>
          <w:i/>
          <w:lang w:val="fr-FR"/>
        </w:rPr>
        <w:t>, G. Paboeuf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3</w:t>
      </w:r>
      <w:r w:rsidRPr="00D0690D">
        <w:rPr>
          <w:rFonts w:ascii="Times New Roman" w:hAnsi="Times New Roman"/>
          <w:bCs/>
          <w:i/>
          <w:lang w:val="fr-FR"/>
        </w:rPr>
        <w:t>, S. de Oliveira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</w:t>
      </w:r>
      <w:r w:rsidRPr="00D0690D">
        <w:rPr>
          <w:rFonts w:ascii="Times New Roman" w:hAnsi="Times New Roman"/>
          <w:bCs/>
          <w:i/>
          <w:lang w:val="fr-FR"/>
        </w:rPr>
        <w:t>, S. Pezennec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</w:t>
      </w:r>
      <w:r w:rsidRPr="00D0690D">
        <w:rPr>
          <w:rFonts w:ascii="Times New Roman" w:hAnsi="Times New Roman"/>
          <w:bCs/>
          <w:i/>
          <w:lang w:val="fr-FR"/>
        </w:rPr>
        <w:t>, J.-F. Cavalier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4</w:t>
      </w:r>
      <w:r w:rsidRPr="00D0690D">
        <w:rPr>
          <w:rFonts w:ascii="Times New Roman" w:hAnsi="Times New Roman"/>
          <w:bCs/>
          <w:i/>
          <w:lang w:val="fr-FR"/>
        </w:rPr>
        <w:t>,  S. Bouhallab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</w:t>
      </w:r>
      <w:r w:rsidRPr="00D0690D">
        <w:rPr>
          <w:rFonts w:ascii="Times New Roman" w:hAnsi="Times New Roman"/>
          <w:bCs/>
          <w:i/>
          <w:lang w:val="fr-FR"/>
        </w:rPr>
        <w:t>, D. Dupont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1,2</w:t>
      </w:r>
      <w:r w:rsidRPr="00D0690D">
        <w:rPr>
          <w:rFonts w:ascii="Times New Roman" w:hAnsi="Times New Roman"/>
          <w:bCs/>
          <w:i/>
          <w:lang w:val="fr-FR"/>
        </w:rPr>
        <w:t>, P. Villeneuve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5</w:t>
      </w:r>
      <w:r w:rsidRPr="00D0690D">
        <w:rPr>
          <w:rFonts w:ascii="Times New Roman" w:hAnsi="Times New Roman"/>
          <w:bCs/>
          <w:i/>
          <w:lang w:val="fr-FR"/>
        </w:rPr>
        <w:t>, F. Carrière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4</w:t>
      </w:r>
      <w:r w:rsidRPr="00D0690D">
        <w:rPr>
          <w:rFonts w:ascii="Times New Roman" w:hAnsi="Times New Roman"/>
          <w:bCs/>
          <w:i/>
          <w:lang w:val="fr-FR"/>
        </w:rPr>
        <w:t>, V. Vié</w:t>
      </w:r>
      <w:r w:rsidRPr="00D0690D">
        <w:rPr>
          <w:rFonts w:ascii="Times New Roman" w:hAnsi="Times New Roman"/>
          <w:bCs/>
          <w:i/>
          <w:vertAlign w:val="superscript"/>
          <w:lang w:val="fr-FR"/>
        </w:rPr>
        <w:t>3</w:t>
      </w:r>
    </w:p>
    <w:p w:rsidR="009A4809" w:rsidRPr="00986022" w:rsidRDefault="009A4809" w:rsidP="00C42DF2">
      <w:pPr>
        <w:rPr>
          <w:rFonts w:ascii="Times New Roman" w:hAnsi="Times New Roman"/>
          <w:i/>
          <w:lang w:val="fr-FR"/>
        </w:rPr>
      </w:pPr>
      <w:r w:rsidRPr="00986022">
        <w:rPr>
          <w:rFonts w:ascii="Times New Roman" w:hAnsi="Times New Roman"/>
          <w:i/>
          <w:vertAlign w:val="superscript"/>
          <w:lang w:val="fr-FR"/>
        </w:rPr>
        <w:t>1</w:t>
      </w:r>
      <w:r w:rsidRPr="00986022">
        <w:rPr>
          <w:rFonts w:ascii="Times New Roman" w:hAnsi="Times New Roman"/>
          <w:i/>
          <w:lang w:val="fr-FR"/>
        </w:rPr>
        <w:t xml:space="preserve">INRA, UMR 1253 STLO, France, </w:t>
      </w:r>
      <w:r w:rsidRPr="00986022">
        <w:rPr>
          <w:rFonts w:ascii="Times New Roman" w:hAnsi="Times New Roman"/>
          <w:i/>
          <w:vertAlign w:val="superscript"/>
          <w:lang w:val="fr-FR"/>
        </w:rPr>
        <w:t>2</w:t>
      </w:r>
      <w:r w:rsidRPr="00986022">
        <w:rPr>
          <w:rFonts w:ascii="Times New Roman" w:hAnsi="Times New Roman"/>
          <w:i/>
          <w:lang w:val="fr-FR"/>
        </w:rPr>
        <w:t xml:space="preserve">Agrocampus Ouest UMR 1253 STLO, France; </w:t>
      </w:r>
      <w:r w:rsidRPr="00986022">
        <w:rPr>
          <w:rFonts w:ascii="Times New Roman" w:hAnsi="Times New Roman"/>
          <w:i/>
          <w:vertAlign w:val="superscript"/>
          <w:lang w:val="fr-FR"/>
        </w:rPr>
        <w:t>3</w:t>
      </w:r>
      <w:r w:rsidRPr="00986022">
        <w:rPr>
          <w:rFonts w:ascii="Times New Roman" w:hAnsi="Times New Roman"/>
          <w:i/>
          <w:lang w:val="fr-FR"/>
        </w:rPr>
        <w:t xml:space="preserve">IPR Institute of Physics, Rennes University 1, France, </w:t>
      </w:r>
      <w:r w:rsidRPr="00986022">
        <w:rPr>
          <w:rFonts w:ascii="Times New Roman" w:hAnsi="Times New Roman"/>
          <w:i/>
          <w:vertAlign w:val="superscript"/>
          <w:lang w:val="fr-FR"/>
        </w:rPr>
        <w:t>4</w:t>
      </w:r>
      <w:r w:rsidRPr="00986022">
        <w:rPr>
          <w:rFonts w:ascii="Times New Roman" w:hAnsi="Times New Roman"/>
          <w:i/>
          <w:lang w:val="fr-FR"/>
        </w:rPr>
        <w:t xml:space="preserve">CNRS, Aix-Marseille Université, UMR 7282 EIPL, France, </w:t>
      </w:r>
      <w:r w:rsidRPr="00986022">
        <w:rPr>
          <w:rFonts w:ascii="Times New Roman" w:hAnsi="Times New Roman"/>
          <w:i/>
          <w:vertAlign w:val="superscript"/>
          <w:lang w:val="fr-FR"/>
        </w:rPr>
        <w:t xml:space="preserve">5 </w:t>
      </w:r>
      <w:r w:rsidRPr="00986022">
        <w:rPr>
          <w:rFonts w:ascii="Times New Roman" w:hAnsi="Times New Roman"/>
          <w:i/>
          <w:lang w:val="fr-FR"/>
        </w:rPr>
        <w:t>CIRAD, UMR IATE, France.</w:t>
      </w:r>
    </w:p>
    <w:p w:rsidR="009A4809" w:rsidRPr="00C45DBA" w:rsidRDefault="009A4809" w:rsidP="001668CD">
      <w:pPr>
        <w:pStyle w:val="Sansinterligne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polar lipids in </w:t>
      </w:r>
      <w:r w:rsidRPr="00C45DBA">
        <w:rPr>
          <w:rFonts w:ascii="Times New Roman" w:hAnsi="Times New Roman"/>
        </w:rPr>
        <w:t>human milk fat globule membrane</w:t>
      </w:r>
      <w:r>
        <w:rPr>
          <w:rFonts w:ascii="Times New Roman" w:hAnsi="Times New Roman"/>
        </w:rPr>
        <w:t>s condition</w:t>
      </w:r>
      <w:r w:rsidRPr="00C45DBA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accessibility and </w:t>
      </w:r>
      <w:r w:rsidRPr="00C45DBA">
        <w:rPr>
          <w:rFonts w:ascii="Times New Roman" w:hAnsi="Times New Roman"/>
        </w:rPr>
        <w:t xml:space="preserve">enzymatic </w:t>
      </w:r>
      <w:r>
        <w:rPr>
          <w:rFonts w:ascii="Times New Roman" w:hAnsi="Times New Roman"/>
        </w:rPr>
        <w:t>digestibility</w:t>
      </w:r>
      <w:r w:rsidRPr="00C45DBA">
        <w:rPr>
          <w:rFonts w:ascii="Times New Roman" w:hAnsi="Times New Roman"/>
        </w:rPr>
        <w:t xml:space="preserve"> of milk lipids. Their substitution by bovine polar lipids to produce infant formulas biomimetic of human milk has been suggested. However a comparison of the interfacial behavior of bovine and human polar lipids and of their interaction with</w:t>
      </w:r>
      <w:r>
        <w:rPr>
          <w:rFonts w:ascii="Times New Roman" w:hAnsi="Times New Roman"/>
        </w:rPr>
        <w:t xml:space="preserve"> the first enzyme involved in fat digestion,</w:t>
      </w:r>
      <w:r w:rsidRPr="00C45DBA">
        <w:rPr>
          <w:rFonts w:ascii="Times New Roman" w:hAnsi="Times New Roman"/>
        </w:rPr>
        <w:t xml:space="preserve"> gastric lipase</w:t>
      </w:r>
      <w:r>
        <w:rPr>
          <w:rFonts w:ascii="Times New Roman" w:hAnsi="Times New Roman"/>
        </w:rPr>
        <w:t>,</w:t>
      </w:r>
      <w:r w:rsidRPr="00C45DBA">
        <w:rPr>
          <w:rFonts w:ascii="Times New Roman" w:hAnsi="Times New Roman"/>
        </w:rPr>
        <w:t xml:space="preserve"> is lacking. </w:t>
      </w:r>
    </w:p>
    <w:p w:rsidR="009A4809" w:rsidRPr="00C45DBA" w:rsidRDefault="009A4809" w:rsidP="00C45DBA">
      <w:pPr>
        <w:pStyle w:val="Sansinterligne"/>
        <w:spacing w:line="480" w:lineRule="auto"/>
        <w:jc w:val="both"/>
        <w:rPr>
          <w:rFonts w:ascii="Times New Roman" w:hAnsi="Times New Roman"/>
        </w:rPr>
      </w:pPr>
      <w:r w:rsidRPr="00C45DBA">
        <w:rPr>
          <w:rFonts w:ascii="Times New Roman" w:hAnsi="Times New Roman"/>
        </w:rPr>
        <w:t xml:space="preserve">Such comparison is </w:t>
      </w:r>
      <w:r>
        <w:rPr>
          <w:rFonts w:ascii="Times New Roman" w:hAnsi="Times New Roman"/>
        </w:rPr>
        <w:t xml:space="preserve">here </w:t>
      </w:r>
      <w:r w:rsidRPr="00C45DBA">
        <w:rPr>
          <w:rFonts w:ascii="Times New Roman" w:hAnsi="Times New Roman"/>
        </w:rPr>
        <w:t>undertaken using complementary biophysical tools: tensiometry, ellipsometry, Brewster angle and atomic force microscopy, in the presence or in the absence of gastric lipase. Polar lipids extracts were obtained from a pool of human milk (n=5) or bovine butterserum and analyzed using GC and HPLC.</w:t>
      </w:r>
    </w:p>
    <w:p w:rsidR="009A4809" w:rsidRPr="00C42DF2" w:rsidRDefault="009A4809" w:rsidP="001668CD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H</w:t>
      </w:r>
      <w:r w:rsidRPr="00C45DBA">
        <w:rPr>
          <w:rFonts w:ascii="Times New Roman" w:hAnsi="Times New Roman"/>
          <w:lang w:val="en-GB"/>
        </w:rPr>
        <w:t xml:space="preserve">uman </w:t>
      </w:r>
      <w:r>
        <w:rPr>
          <w:rFonts w:ascii="Times New Roman" w:hAnsi="Times New Roman"/>
          <w:lang w:val="en-GB"/>
        </w:rPr>
        <w:t xml:space="preserve">milk </w:t>
      </w:r>
      <w:r w:rsidRPr="00C45DBA">
        <w:rPr>
          <w:rFonts w:ascii="Times New Roman" w:hAnsi="Times New Roman"/>
          <w:lang w:val="en-GB"/>
        </w:rPr>
        <w:t>polar lipids (H</w:t>
      </w:r>
      <w:r>
        <w:rPr>
          <w:rFonts w:ascii="Times New Roman" w:hAnsi="Times New Roman"/>
          <w:lang w:val="en-GB"/>
        </w:rPr>
        <w:t>M</w:t>
      </w:r>
      <w:r w:rsidRPr="00C45DBA">
        <w:rPr>
          <w:rFonts w:ascii="Times New Roman" w:hAnsi="Times New Roman"/>
          <w:lang w:val="en-GB"/>
        </w:rPr>
        <w:t>PL)</w:t>
      </w:r>
      <w:r>
        <w:rPr>
          <w:rFonts w:ascii="Times New Roman" w:hAnsi="Times New Roman"/>
          <w:lang w:val="en-GB"/>
        </w:rPr>
        <w:t xml:space="preserve"> presented a higher compressibility</w:t>
      </w:r>
      <w:r w:rsidRPr="00C45DBA">
        <w:rPr>
          <w:rFonts w:ascii="Times New Roman" w:hAnsi="Times New Roman"/>
          <w:lang w:val="en-GB"/>
        </w:rPr>
        <w:t xml:space="preserve"> than </w:t>
      </w:r>
      <w:bookmarkStart w:id="0" w:name="_GoBack"/>
      <w:bookmarkEnd w:id="0"/>
      <w:r w:rsidRPr="00C45DBA">
        <w:rPr>
          <w:rFonts w:ascii="Times New Roman" w:hAnsi="Times New Roman"/>
          <w:lang w:val="en-GB"/>
        </w:rPr>
        <w:t xml:space="preserve">bovine </w:t>
      </w:r>
      <w:r>
        <w:rPr>
          <w:rFonts w:ascii="Times New Roman" w:hAnsi="Times New Roman"/>
          <w:lang w:val="en-GB"/>
        </w:rPr>
        <w:t xml:space="preserve">milk </w:t>
      </w:r>
      <w:r w:rsidRPr="00C45DBA">
        <w:rPr>
          <w:rFonts w:ascii="Times New Roman" w:hAnsi="Times New Roman"/>
          <w:lang w:val="en-GB"/>
        </w:rPr>
        <w:t>polar lipids (B</w:t>
      </w:r>
      <w:r>
        <w:rPr>
          <w:rFonts w:ascii="Times New Roman" w:hAnsi="Times New Roman"/>
          <w:lang w:val="en-GB"/>
        </w:rPr>
        <w:t>M</w:t>
      </w:r>
      <w:r w:rsidRPr="00C45DBA">
        <w:rPr>
          <w:rFonts w:ascii="Times New Roman" w:hAnsi="Times New Roman"/>
          <w:lang w:val="en-GB"/>
        </w:rPr>
        <w:t xml:space="preserve">PL). Despite the presence of liquid condensed domains in </w:t>
      </w:r>
      <w:r>
        <w:rPr>
          <w:rFonts w:ascii="Times New Roman" w:hAnsi="Times New Roman"/>
          <w:lang w:val="en-GB"/>
        </w:rPr>
        <w:t>both</w:t>
      </w:r>
      <w:r w:rsidRPr="00C45DBA">
        <w:rPr>
          <w:rFonts w:ascii="Times New Roman" w:hAnsi="Times New Roman"/>
          <w:lang w:val="en-GB"/>
        </w:rPr>
        <w:t xml:space="preserve"> extracts, </w:t>
      </w:r>
      <w:r w:rsidRPr="00C45DBA">
        <w:rPr>
          <w:rFonts w:ascii="Times New Roman" w:hAnsi="Times New Roman"/>
          <w:lang w:val="en-GB"/>
        </w:rPr>
        <w:t>their</w:t>
      </w:r>
      <w:r w:rsidRPr="00C45DBA">
        <w:rPr>
          <w:rFonts w:ascii="Times New Roman" w:hAnsi="Times New Roman"/>
          <w:lang w:val="en-GB"/>
        </w:rPr>
        <w:t xml:space="preserve"> morphological aspect and growth differed in relation with the lipid composition. Lipid phase separation impacted on gastric lipase </w:t>
      </w:r>
      <w:r>
        <w:rPr>
          <w:rFonts w:ascii="Times New Roman" w:hAnsi="Times New Roman"/>
          <w:lang w:val="en-GB"/>
        </w:rPr>
        <w:t>adsorption</w:t>
      </w:r>
      <w:r w:rsidRPr="00C45DBA">
        <w:rPr>
          <w:rFonts w:ascii="Times New Roman" w:hAnsi="Times New Roman"/>
          <w:lang w:val="en-GB"/>
        </w:rPr>
        <w:t xml:space="preserve"> in both extracts</w:t>
      </w:r>
      <w:r>
        <w:rPr>
          <w:rFonts w:ascii="Times New Roman" w:hAnsi="Times New Roman"/>
          <w:lang w:val="en-GB"/>
        </w:rPr>
        <w:t xml:space="preserve"> with an exclusive adsorption </w:t>
      </w:r>
      <w:r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>nto the liquid expanded phase.</w:t>
      </w:r>
      <w:r w:rsidRPr="00C45DBA">
        <w:rPr>
          <w:rFonts w:ascii="Times New Roman" w:hAnsi="Times New Roman"/>
          <w:lang w:val="en-GB"/>
        </w:rPr>
        <w:t xml:space="preserve"> Despite differences in their physico-chemical properties, both polar lipid extracts share close interfacial reactivity in gastric conditions</w:t>
      </w:r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This</w:t>
      </w:r>
      <w:r w:rsidRPr="00C45DBA">
        <w:rPr>
          <w:rFonts w:ascii="Times New Roman" w:hAnsi="Times New Roman"/>
          <w:lang w:val="en-GB"/>
        </w:rPr>
        <w:t xml:space="preserve"> </w:t>
      </w:r>
      <w:r w:rsidRPr="00C45DBA">
        <w:rPr>
          <w:rFonts w:ascii="Times New Roman" w:hAnsi="Times New Roman"/>
          <w:lang w:val="en-GB"/>
        </w:rPr>
        <w:t>biophysical characterization will be broaden</w:t>
      </w:r>
      <w:r>
        <w:rPr>
          <w:rFonts w:ascii="Times New Roman" w:hAnsi="Times New Roman"/>
          <w:lang w:val="en-GB"/>
        </w:rPr>
        <w:t>ed</w:t>
      </w:r>
      <w:r w:rsidRPr="00C45DBA">
        <w:rPr>
          <w:rFonts w:ascii="Times New Roman" w:hAnsi="Times New Roman"/>
          <w:lang w:val="en-GB"/>
        </w:rPr>
        <w:t xml:space="preserve"> to other milk polar lipids interesting for human milk substitution.</w:t>
      </w:r>
    </w:p>
    <w:sectPr w:rsidR="009A4809" w:rsidRPr="00C42DF2" w:rsidSect="0029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B8"/>
    <w:rsid w:val="001668CD"/>
    <w:rsid w:val="00192A5D"/>
    <w:rsid w:val="001E7A4E"/>
    <w:rsid w:val="00244BEA"/>
    <w:rsid w:val="00296CCD"/>
    <w:rsid w:val="00347681"/>
    <w:rsid w:val="005330C9"/>
    <w:rsid w:val="005467B8"/>
    <w:rsid w:val="005A3473"/>
    <w:rsid w:val="00617507"/>
    <w:rsid w:val="006460E6"/>
    <w:rsid w:val="007245A5"/>
    <w:rsid w:val="00735EDE"/>
    <w:rsid w:val="007D44BF"/>
    <w:rsid w:val="008147B8"/>
    <w:rsid w:val="00884E7D"/>
    <w:rsid w:val="00976D1F"/>
    <w:rsid w:val="00986022"/>
    <w:rsid w:val="009A4809"/>
    <w:rsid w:val="009D26E4"/>
    <w:rsid w:val="00A6460C"/>
    <w:rsid w:val="00B10F4B"/>
    <w:rsid w:val="00B30D43"/>
    <w:rsid w:val="00B81AA4"/>
    <w:rsid w:val="00C42DF2"/>
    <w:rsid w:val="00C45DBA"/>
    <w:rsid w:val="00C96AF3"/>
    <w:rsid w:val="00CB3BAC"/>
    <w:rsid w:val="00D0690D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2D7BF6-1A94-4CC7-B1BE-34B9225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8"/>
    <w:pPr>
      <w:spacing w:after="200" w:line="480" w:lineRule="auto"/>
      <w:jc w:val="both"/>
    </w:pPr>
    <w:rPr>
      <w:rFonts w:ascii="Cambria" w:eastAsia="MS Mincho" w:hAnsi="Cambr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467B8"/>
    <w:rPr>
      <w:rFonts w:ascii="Cambria" w:eastAsia="MS Mincho" w:hAnsi="Cambria"/>
      <w:sz w:val="24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192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17"/>
    <w:rPr>
      <w:rFonts w:ascii="Times New Roman" w:eastAsia="MS Mincho" w:hAnsi="Times New Roman"/>
      <w:sz w:val="0"/>
      <w:szCs w:val="0"/>
      <w:lang w:val="en-US" w:eastAsia="ja-JP"/>
    </w:rPr>
  </w:style>
  <w:style w:type="character" w:styleId="Marquedecommentaire">
    <w:name w:val="annotation reference"/>
    <w:basedOn w:val="Policepardfaut"/>
    <w:uiPriority w:val="99"/>
    <w:semiHidden/>
    <w:rsid w:val="001668C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668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217"/>
    <w:rPr>
      <w:rFonts w:ascii="Cambria" w:eastAsia="MS Mincho" w:hAnsi="Cambria"/>
      <w:sz w:val="20"/>
      <w:szCs w:val="20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668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217"/>
    <w:rPr>
      <w:rFonts w:ascii="Cambria" w:eastAsia="MS Mincho" w:hAnsi="Cambr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Interfacial behavior of milk polar lipids and their influence on gastric lipase adsorption: a natural effective delivery system</vt:lpstr>
    </vt:vector>
  </TitlesOfParts>
  <Company>CIRAD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Interfacial behavior of milk polar lipids and their influence on gastric lipase adsorption: a natural effective delivery system</dc:title>
  <dc:subject/>
  <dc:creator>µ</dc:creator>
  <cp:keywords/>
  <dc:description/>
  <cp:lastModifiedBy>Claire</cp:lastModifiedBy>
  <cp:revision>2</cp:revision>
  <dcterms:created xsi:type="dcterms:W3CDTF">2015-11-02T10:33:00Z</dcterms:created>
  <dcterms:modified xsi:type="dcterms:W3CDTF">2015-11-02T10:33:00Z</dcterms:modified>
</cp:coreProperties>
</file>