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8B" w:rsidRPr="00CD2C76" w:rsidRDefault="006A16B4" w:rsidP="00CD2C76">
      <w:pPr>
        <w:jc w:val="both"/>
        <w:rPr>
          <w:b/>
          <w:lang w:val="en-US"/>
        </w:rPr>
      </w:pPr>
      <w:r w:rsidRPr="00CD2C76">
        <w:rPr>
          <w:b/>
          <w:lang w:val="en-US"/>
        </w:rPr>
        <w:t xml:space="preserve">Using </w:t>
      </w:r>
      <w:proofErr w:type="gramStart"/>
      <w:r w:rsidRPr="00CD2C76">
        <w:rPr>
          <w:b/>
          <w:lang w:val="en-US"/>
        </w:rPr>
        <w:t>Near</w:t>
      </w:r>
      <w:proofErr w:type="gramEnd"/>
      <w:r w:rsidRPr="00CD2C76">
        <w:rPr>
          <w:b/>
          <w:lang w:val="en-US"/>
        </w:rPr>
        <w:t xml:space="preserve"> Infrared Spectroscopy to explore </w:t>
      </w:r>
      <w:r w:rsidR="00D63C6F" w:rsidRPr="00CD2C76">
        <w:rPr>
          <w:b/>
          <w:lang w:val="en-US"/>
        </w:rPr>
        <w:t xml:space="preserve">geographical patterns of </w:t>
      </w:r>
      <w:r w:rsidRPr="00CD2C76">
        <w:rPr>
          <w:b/>
          <w:lang w:val="en-US"/>
        </w:rPr>
        <w:t>genetic diversity and predict quantitative phenotypes: application to natural populations of black poplar (</w:t>
      </w:r>
      <w:r w:rsidRPr="00CD2C76">
        <w:rPr>
          <w:b/>
          <w:i/>
          <w:lang w:val="en-US"/>
        </w:rPr>
        <w:t xml:space="preserve">Populus </w:t>
      </w:r>
      <w:proofErr w:type="spellStart"/>
      <w:r w:rsidRPr="00CD2C76">
        <w:rPr>
          <w:b/>
          <w:i/>
          <w:lang w:val="en-US"/>
        </w:rPr>
        <w:t>nigra</w:t>
      </w:r>
      <w:proofErr w:type="spellEnd"/>
      <w:r w:rsidRPr="00CD2C76">
        <w:rPr>
          <w:b/>
          <w:lang w:val="en-US"/>
        </w:rPr>
        <w:t>).</w:t>
      </w:r>
    </w:p>
    <w:p w:rsidR="00C61333" w:rsidRPr="00CD2C76" w:rsidRDefault="00C61333" w:rsidP="00CD2C76">
      <w:pPr>
        <w:jc w:val="both"/>
      </w:pPr>
      <w:r w:rsidRPr="00CD2C76">
        <w:t>Vincent Segura</w:t>
      </w:r>
      <w:r w:rsidRPr="00CD2C76">
        <w:rPr>
          <w:vertAlign w:val="superscript"/>
        </w:rPr>
        <w:t>1</w:t>
      </w:r>
      <w:r w:rsidRPr="00CD2C76">
        <w:t>, Jean-Paul Charpentier</w:t>
      </w:r>
      <w:r w:rsidRPr="00CD2C76">
        <w:rPr>
          <w:vertAlign w:val="superscript"/>
        </w:rPr>
        <w:t>1</w:t>
      </w:r>
      <w:proofErr w:type="gramStart"/>
      <w:r w:rsidRPr="00CD2C76">
        <w:rPr>
          <w:vertAlign w:val="superscript"/>
        </w:rPr>
        <w:t>,2</w:t>
      </w:r>
      <w:proofErr w:type="gramEnd"/>
      <w:r w:rsidRPr="00CD2C76">
        <w:t>, Kévin Ader</w:t>
      </w:r>
      <w:r w:rsidRPr="00CD2C76">
        <w:rPr>
          <w:vertAlign w:val="superscript"/>
        </w:rPr>
        <w:t>1,2</w:t>
      </w:r>
      <w:r w:rsidRPr="00CD2C76">
        <w:t xml:space="preserve">, </w:t>
      </w:r>
      <w:proofErr w:type="spellStart"/>
      <w:r w:rsidRPr="00CD2C76">
        <w:t>Redouane</w:t>
      </w:r>
      <w:proofErr w:type="spellEnd"/>
      <w:r w:rsidRPr="00CD2C76">
        <w:t xml:space="preserve"> ElMalki</w:t>
      </w:r>
      <w:r w:rsidRPr="00CD2C76">
        <w:rPr>
          <w:vertAlign w:val="superscript"/>
        </w:rPr>
        <w:t>1</w:t>
      </w:r>
      <w:r w:rsidRPr="00CD2C76">
        <w:t>, Justine Guet</w:t>
      </w:r>
      <w:r w:rsidRPr="00CD2C76">
        <w:rPr>
          <w:vertAlign w:val="superscript"/>
        </w:rPr>
        <w:t>1,3</w:t>
      </w:r>
      <w:r w:rsidRPr="00CD2C76">
        <w:t>, Véronique Jorge</w:t>
      </w:r>
      <w:r w:rsidRPr="00CD2C76">
        <w:rPr>
          <w:vertAlign w:val="superscript"/>
        </w:rPr>
        <w:t>1</w:t>
      </w:r>
      <w:r w:rsidRPr="00CD2C76">
        <w:t>, Patrick Poursat</w:t>
      </w:r>
      <w:r w:rsidRPr="00CD2C76">
        <w:rPr>
          <w:vertAlign w:val="superscript"/>
        </w:rPr>
        <w:t>4</w:t>
      </w:r>
      <w:r w:rsidRPr="00CD2C76">
        <w:t>, Jean-Charles Bastien</w:t>
      </w:r>
      <w:r w:rsidRPr="00CD2C76">
        <w:rPr>
          <w:vertAlign w:val="superscript"/>
        </w:rPr>
        <w:t>1</w:t>
      </w:r>
      <w:r w:rsidRPr="00CD2C76">
        <w:t xml:space="preserve"> and Catherine Bastien</w:t>
      </w:r>
      <w:r w:rsidRPr="00CD2C76">
        <w:rPr>
          <w:vertAlign w:val="superscript"/>
        </w:rPr>
        <w:t>1</w:t>
      </w:r>
      <w:r w:rsidRPr="00CD2C76">
        <w:t>.</w:t>
      </w:r>
    </w:p>
    <w:p w:rsidR="00C61333" w:rsidRPr="00CD2C76" w:rsidRDefault="00C61333" w:rsidP="00CD2C76">
      <w:pPr>
        <w:spacing w:after="0"/>
        <w:jc w:val="both"/>
      </w:pPr>
      <w:r w:rsidRPr="00CD2C76">
        <w:rPr>
          <w:vertAlign w:val="superscript"/>
        </w:rPr>
        <w:t xml:space="preserve">1 </w:t>
      </w:r>
      <w:r w:rsidRPr="00CD2C76">
        <w:t>INRA, UR0588 Amélioration Génétique et Physiologie Forestières, Orléans, France</w:t>
      </w:r>
    </w:p>
    <w:p w:rsidR="00C61333" w:rsidRPr="00CD2C76" w:rsidRDefault="00C61333" w:rsidP="00CD2C76">
      <w:pPr>
        <w:spacing w:after="0"/>
        <w:jc w:val="both"/>
      </w:pPr>
      <w:r w:rsidRPr="00CD2C76">
        <w:rPr>
          <w:vertAlign w:val="superscript"/>
        </w:rPr>
        <w:t xml:space="preserve">2 </w:t>
      </w:r>
      <w:r w:rsidRPr="00CD2C76">
        <w:t xml:space="preserve">INRA, Plateau technique </w:t>
      </w:r>
      <w:proofErr w:type="spellStart"/>
      <w:r w:rsidRPr="00CD2C76">
        <w:t>Génobois</w:t>
      </w:r>
      <w:proofErr w:type="spellEnd"/>
      <w:r w:rsidRPr="00CD2C76">
        <w:t>, Orléans, France</w:t>
      </w:r>
    </w:p>
    <w:p w:rsidR="00C61333" w:rsidRPr="00CD2C76" w:rsidRDefault="00C61333" w:rsidP="00CD2C76">
      <w:pPr>
        <w:spacing w:after="0"/>
        <w:jc w:val="both"/>
      </w:pPr>
      <w:r w:rsidRPr="00CD2C76">
        <w:rPr>
          <w:vertAlign w:val="superscript"/>
        </w:rPr>
        <w:t>3</w:t>
      </w:r>
      <w:r w:rsidRPr="00CD2C76">
        <w:t xml:space="preserve"> INRA, USC 1328 Laboratoire de Biologie des Ligneux et des Grandes Cultures, Orléans, France</w:t>
      </w:r>
    </w:p>
    <w:p w:rsidR="00C61333" w:rsidRPr="00CD2C76" w:rsidRDefault="00C61333" w:rsidP="00CD2C76">
      <w:pPr>
        <w:spacing w:after="0"/>
        <w:jc w:val="both"/>
      </w:pPr>
      <w:r w:rsidRPr="00CD2C76">
        <w:rPr>
          <w:vertAlign w:val="superscript"/>
        </w:rPr>
        <w:t>4</w:t>
      </w:r>
      <w:r w:rsidRPr="00CD2C76">
        <w:t xml:space="preserve"> INRA, UE0995 Génétique et Biomasse Forestières, Orléans, France</w:t>
      </w:r>
    </w:p>
    <w:p w:rsidR="003E3B75" w:rsidRPr="00CD2C76" w:rsidRDefault="00CD2C76" w:rsidP="00CD2C76">
      <w:pPr>
        <w:jc w:val="both"/>
        <w:rPr>
          <w:lang w:val="en-US"/>
        </w:rPr>
      </w:pPr>
      <w:hyperlink r:id="rId6" w:history="1">
        <w:r w:rsidR="003E3B75" w:rsidRPr="00CD2C76">
          <w:rPr>
            <w:rStyle w:val="Lienhypertexte"/>
            <w:lang w:val="en-US"/>
          </w:rPr>
          <w:t>segura@orleans.inra.fr</w:t>
        </w:r>
      </w:hyperlink>
    </w:p>
    <w:p w:rsidR="006A16B4" w:rsidRPr="00CD2C76" w:rsidRDefault="006A16B4" w:rsidP="00CD2C76">
      <w:pPr>
        <w:spacing w:before="120" w:after="120"/>
        <w:jc w:val="both"/>
        <w:rPr>
          <w:i/>
          <w:lang w:val="en-US"/>
        </w:rPr>
      </w:pPr>
      <w:r w:rsidRPr="00CD2C76">
        <w:rPr>
          <w:i/>
          <w:lang w:val="en-US"/>
        </w:rPr>
        <w:t>Backgrou</w:t>
      </w:r>
      <w:r w:rsidR="00DC1C92" w:rsidRPr="00CD2C76">
        <w:rPr>
          <w:i/>
          <w:lang w:val="en-US"/>
        </w:rPr>
        <w:t>n</w:t>
      </w:r>
      <w:r w:rsidRPr="00CD2C76">
        <w:rPr>
          <w:i/>
          <w:lang w:val="en-US"/>
        </w:rPr>
        <w:t>d</w:t>
      </w:r>
    </w:p>
    <w:p w:rsidR="00575EFF" w:rsidRPr="00CD2C76" w:rsidRDefault="003E3B75" w:rsidP="00CD2C76">
      <w:pPr>
        <w:spacing w:after="0"/>
        <w:ind w:firstLine="709"/>
        <w:jc w:val="both"/>
        <w:rPr>
          <w:lang w:val="en-US"/>
        </w:rPr>
      </w:pPr>
      <w:r w:rsidRPr="00CD2C76">
        <w:rPr>
          <w:lang w:val="en-US"/>
        </w:rPr>
        <w:t xml:space="preserve">Near Infrared Spectroscopy </w:t>
      </w:r>
      <w:r w:rsidR="004F21DA" w:rsidRPr="00CD2C76">
        <w:rPr>
          <w:lang w:val="en-US"/>
        </w:rPr>
        <w:t xml:space="preserve">(NIRS) </w:t>
      </w:r>
      <w:r w:rsidRPr="00CD2C76">
        <w:rPr>
          <w:lang w:val="en-US"/>
        </w:rPr>
        <w:t>is a popular high-throughput technique for characterizing and predicting the physical and chemical properties of biological samples. In forestry</w:t>
      </w:r>
      <w:r w:rsidR="004F21DA" w:rsidRPr="00CD2C76">
        <w:rPr>
          <w:lang w:val="en-US"/>
        </w:rPr>
        <w:t xml:space="preserve"> research</w:t>
      </w:r>
      <w:r w:rsidRPr="00CD2C76">
        <w:rPr>
          <w:lang w:val="en-US"/>
        </w:rPr>
        <w:t xml:space="preserve">, it </w:t>
      </w:r>
      <w:r w:rsidR="00575EFF" w:rsidRPr="00CD2C76">
        <w:rPr>
          <w:lang w:val="en-US"/>
        </w:rPr>
        <w:t xml:space="preserve">has </w:t>
      </w:r>
      <w:r w:rsidR="00C01078" w:rsidRPr="00CD2C76">
        <w:rPr>
          <w:lang w:val="en-US"/>
        </w:rPr>
        <w:t xml:space="preserve">mainly and </w:t>
      </w:r>
      <w:r w:rsidR="00575EFF" w:rsidRPr="00CD2C76">
        <w:rPr>
          <w:lang w:val="en-US"/>
        </w:rPr>
        <w:t xml:space="preserve">successfully been </w:t>
      </w:r>
      <w:r w:rsidR="00D20FC4" w:rsidRPr="00CD2C76">
        <w:rPr>
          <w:lang w:val="en-US"/>
        </w:rPr>
        <w:t>applied to</w:t>
      </w:r>
      <w:r w:rsidR="00575EFF" w:rsidRPr="00CD2C76">
        <w:rPr>
          <w:lang w:val="en-US"/>
        </w:rPr>
        <w:t xml:space="preserve"> the prediction of </w:t>
      </w:r>
      <w:r w:rsidR="00D20FC4" w:rsidRPr="00CD2C76">
        <w:rPr>
          <w:lang w:val="en-US"/>
        </w:rPr>
        <w:t xml:space="preserve">multiple </w:t>
      </w:r>
      <w:r w:rsidR="00575EFF" w:rsidRPr="00CD2C76">
        <w:rPr>
          <w:lang w:val="en-US"/>
        </w:rPr>
        <w:t>wood</w:t>
      </w:r>
      <w:r w:rsidR="004F21DA" w:rsidRPr="00CD2C76">
        <w:rPr>
          <w:lang w:val="en-US"/>
        </w:rPr>
        <w:t xml:space="preserve"> properties</w:t>
      </w:r>
      <w:r w:rsidR="00D20FC4" w:rsidRPr="00CD2C76">
        <w:rPr>
          <w:lang w:val="en-US"/>
        </w:rPr>
        <w:t xml:space="preserve">, including </w:t>
      </w:r>
      <w:r w:rsidR="00575EFF" w:rsidRPr="00CD2C76">
        <w:rPr>
          <w:lang w:val="en-US"/>
        </w:rPr>
        <w:t>chemical composition</w:t>
      </w:r>
      <w:r w:rsidR="00C01078" w:rsidRPr="00CD2C76">
        <w:rPr>
          <w:lang w:val="en-US"/>
        </w:rPr>
        <w:t xml:space="preserve"> and physical properties (reviewed by </w:t>
      </w:r>
      <w:proofErr w:type="spellStart"/>
      <w:r w:rsidR="00C01078" w:rsidRPr="00CD2C76">
        <w:rPr>
          <w:lang w:val="en-US"/>
        </w:rPr>
        <w:t>Tsuchikawa</w:t>
      </w:r>
      <w:proofErr w:type="spellEnd"/>
      <w:r w:rsidR="00C01078" w:rsidRPr="00CD2C76">
        <w:rPr>
          <w:lang w:val="en-US"/>
        </w:rPr>
        <w:t>, 2007)</w:t>
      </w:r>
      <w:r w:rsidR="00575EFF" w:rsidRPr="00CD2C76">
        <w:rPr>
          <w:lang w:val="en-US"/>
        </w:rPr>
        <w:t xml:space="preserve">. </w:t>
      </w:r>
      <w:r w:rsidR="004F21DA" w:rsidRPr="00CD2C76">
        <w:rPr>
          <w:lang w:val="en-US"/>
        </w:rPr>
        <w:t xml:space="preserve">More anecdotally, the discrimination </w:t>
      </w:r>
      <w:r w:rsidR="00575EFF" w:rsidRPr="00CD2C76">
        <w:rPr>
          <w:lang w:val="en-US"/>
        </w:rPr>
        <w:t xml:space="preserve">potential </w:t>
      </w:r>
      <w:r w:rsidR="004F21DA" w:rsidRPr="00CD2C76">
        <w:rPr>
          <w:lang w:val="en-US"/>
        </w:rPr>
        <w:t xml:space="preserve">of NIRS </w:t>
      </w:r>
      <w:r w:rsidR="00575EFF" w:rsidRPr="00CD2C76">
        <w:rPr>
          <w:lang w:val="en-US"/>
        </w:rPr>
        <w:t xml:space="preserve">has </w:t>
      </w:r>
      <w:r w:rsidR="004F21DA" w:rsidRPr="00CD2C76">
        <w:rPr>
          <w:lang w:val="en-US"/>
        </w:rPr>
        <w:t xml:space="preserve">also </w:t>
      </w:r>
      <w:r w:rsidR="00575EFF" w:rsidRPr="00CD2C76">
        <w:rPr>
          <w:lang w:val="en-US"/>
        </w:rPr>
        <w:t>been explored</w:t>
      </w:r>
      <w:r w:rsidR="004F21DA" w:rsidRPr="00CD2C76">
        <w:rPr>
          <w:lang w:val="en-US"/>
        </w:rPr>
        <w:t xml:space="preserve"> </w:t>
      </w:r>
      <w:r w:rsidR="00575EFF" w:rsidRPr="00CD2C76">
        <w:rPr>
          <w:lang w:val="en-US"/>
        </w:rPr>
        <w:t xml:space="preserve">and </w:t>
      </w:r>
      <w:r w:rsidR="004F21DA" w:rsidRPr="00CD2C76">
        <w:rPr>
          <w:lang w:val="en-US"/>
        </w:rPr>
        <w:t xml:space="preserve">applied to wood and leaf samples </w:t>
      </w:r>
      <w:r w:rsidR="009A51D0" w:rsidRPr="00CD2C76">
        <w:rPr>
          <w:lang w:val="en-US"/>
        </w:rPr>
        <w:t xml:space="preserve">in order to identify their </w:t>
      </w:r>
      <w:r w:rsidR="000A0AF5" w:rsidRPr="00CD2C76">
        <w:rPr>
          <w:lang w:val="en-US"/>
        </w:rPr>
        <w:t xml:space="preserve">corresponding </w:t>
      </w:r>
      <w:r w:rsidR="009A51D0" w:rsidRPr="00CD2C76">
        <w:rPr>
          <w:lang w:val="en-US"/>
        </w:rPr>
        <w:t xml:space="preserve">species or provenances within species (Richardson </w:t>
      </w:r>
      <w:r w:rsidR="009A51D0" w:rsidRPr="00CD2C76">
        <w:rPr>
          <w:i/>
          <w:lang w:val="en-US"/>
        </w:rPr>
        <w:t>et al.</w:t>
      </w:r>
      <w:r w:rsidR="009A51D0" w:rsidRPr="00CD2C76">
        <w:rPr>
          <w:lang w:val="en-US"/>
        </w:rPr>
        <w:t xml:space="preserve">, 2003; </w:t>
      </w:r>
      <w:proofErr w:type="spellStart"/>
      <w:r w:rsidR="009A51D0" w:rsidRPr="00CD2C76">
        <w:rPr>
          <w:lang w:val="en-US"/>
        </w:rPr>
        <w:t>Tsuchikawa</w:t>
      </w:r>
      <w:proofErr w:type="spellEnd"/>
      <w:r w:rsidR="009A51D0" w:rsidRPr="00CD2C76">
        <w:rPr>
          <w:lang w:val="en-US"/>
        </w:rPr>
        <w:t>, 2007; O’Reilly-</w:t>
      </w:r>
      <w:proofErr w:type="spellStart"/>
      <w:r w:rsidR="009A51D0" w:rsidRPr="00CD2C76">
        <w:rPr>
          <w:lang w:val="en-US"/>
        </w:rPr>
        <w:t>Wapstra</w:t>
      </w:r>
      <w:proofErr w:type="spellEnd"/>
      <w:r w:rsidR="009A51D0" w:rsidRPr="00CD2C76">
        <w:rPr>
          <w:lang w:val="en-US"/>
        </w:rPr>
        <w:t xml:space="preserve"> </w:t>
      </w:r>
      <w:r w:rsidR="009A51D0" w:rsidRPr="00CD2C76">
        <w:rPr>
          <w:i/>
          <w:lang w:val="en-US"/>
        </w:rPr>
        <w:t>et al.</w:t>
      </w:r>
      <w:r w:rsidR="009A51D0" w:rsidRPr="00CD2C76">
        <w:rPr>
          <w:lang w:val="en-US"/>
        </w:rPr>
        <w:t xml:space="preserve">, 2013), suggesting that it is able to capture genetic </w:t>
      </w:r>
      <w:r w:rsidR="00DC1C92" w:rsidRPr="00CD2C76">
        <w:rPr>
          <w:lang w:val="en-US"/>
        </w:rPr>
        <w:t>variation</w:t>
      </w:r>
      <w:r w:rsidR="009A51D0" w:rsidRPr="00CD2C76">
        <w:rPr>
          <w:lang w:val="en-US"/>
        </w:rPr>
        <w:t xml:space="preserve">. </w:t>
      </w:r>
      <w:r w:rsidR="007B4EA8" w:rsidRPr="00CD2C76">
        <w:rPr>
          <w:lang w:val="en-US"/>
        </w:rPr>
        <w:t xml:space="preserve">Few recent studies have more directly confirmed this point by estimating the </w:t>
      </w:r>
      <w:r w:rsidR="00D63C6F" w:rsidRPr="00CD2C76">
        <w:rPr>
          <w:lang w:val="en-US"/>
        </w:rPr>
        <w:t xml:space="preserve">broad-sense </w:t>
      </w:r>
      <w:r w:rsidR="007B4EA8" w:rsidRPr="00CD2C76">
        <w:rPr>
          <w:lang w:val="en-US"/>
        </w:rPr>
        <w:t>heritability of NIRS and</w:t>
      </w:r>
      <w:r w:rsidR="00981532" w:rsidRPr="00CD2C76">
        <w:rPr>
          <w:lang w:val="en-US"/>
        </w:rPr>
        <w:t xml:space="preserve">/or </w:t>
      </w:r>
      <w:r w:rsidR="007B4EA8" w:rsidRPr="00CD2C76">
        <w:rPr>
          <w:lang w:val="en-US"/>
        </w:rPr>
        <w:t xml:space="preserve">mapping corresponding genetic loci (Posada </w:t>
      </w:r>
      <w:r w:rsidR="007B4EA8" w:rsidRPr="00CD2C76">
        <w:rPr>
          <w:i/>
          <w:lang w:val="en-US"/>
        </w:rPr>
        <w:t>et al.</w:t>
      </w:r>
      <w:r w:rsidR="007B4EA8" w:rsidRPr="00CD2C76">
        <w:rPr>
          <w:lang w:val="en-US"/>
        </w:rPr>
        <w:t>, 2009; O’Reilly-</w:t>
      </w:r>
      <w:proofErr w:type="spellStart"/>
      <w:r w:rsidR="007B4EA8" w:rsidRPr="00CD2C76">
        <w:rPr>
          <w:lang w:val="en-US"/>
        </w:rPr>
        <w:t>Wapstra</w:t>
      </w:r>
      <w:proofErr w:type="spellEnd"/>
      <w:r w:rsidR="007B4EA8" w:rsidRPr="00CD2C76">
        <w:rPr>
          <w:lang w:val="en-US"/>
        </w:rPr>
        <w:t xml:space="preserve"> </w:t>
      </w:r>
      <w:r w:rsidR="007B4EA8" w:rsidRPr="00CD2C76">
        <w:rPr>
          <w:i/>
          <w:lang w:val="en-US"/>
        </w:rPr>
        <w:t>et al.</w:t>
      </w:r>
      <w:r w:rsidR="007B4EA8" w:rsidRPr="00CD2C76">
        <w:rPr>
          <w:lang w:val="en-US"/>
        </w:rPr>
        <w:t xml:space="preserve">, 2013). </w:t>
      </w:r>
      <w:r w:rsidR="00711AD2" w:rsidRPr="00CD2C76">
        <w:rPr>
          <w:lang w:val="en-US"/>
        </w:rPr>
        <w:t>As a result, t</w:t>
      </w:r>
      <w:r w:rsidR="007B4EA8" w:rsidRPr="00CD2C76">
        <w:rPr>
          <w:lang w:val="en-US"/>
        </w:rPr>
        <w:t xml:space="preserve">hese genetic </w:t>
      </w:r>
      <w:r w:rsidR="00711AD2" w:rsidRPr="00CD2C76">
        <w:rPr>
          <w:lang w:val="en-US"/>
        </w:rPr>
        <w:t>analyses</w:t>
      </w:r>
      <w:r w:rsidR="007B4EA8" w:rsidRPr="00CD2C76">
        <w:rPr>
          <w:lang w:val="en-US"/>
        </w:rPr>
        <w:t xml:space="preserve"> suggested that NIRS signature is an interesting biological marker which, similarly to DNA-based markers, could be used to explore </w:t>
      </w:r>
      <w:r w:rsidR="00711AD2" w:rsidRPr="00CD2C76">
        <w:rPr>
          <w:lang w:val="en-US"/>
        </w:rPr>
        <w:t xml:space="preserve">and analyze </w:t>
      </w:r>
      <w:r w:rsidR="007B4EA8" w:rsidRPr="00CD2C76">
        <w:rPr>
          <w:lang w:val="en-US"/>
        </w:rPr>
        <w:t xml:space="preserve">the </w:t>
      </w:r>
      <w:r w:rsidR="00711AD2" w:rsidRPr="00CD2C76">
        <w:rPr>
          <w:lang w:val="en-US"/>
        </w:rPr>
        <w:t xml:space="preserve">structure of </w:t>
      </w:r>
      <w:r w:rsidR="007B4EA8" w:rsidRPr="00CD2C76">
        <w:rPr>
          <w:lang w:val="en-US"/>
        </w:rPr>
        <w:t xml:space="preserve">genetic diversity and </w:t>
      </w:r>
      <w:r w:rsidR="00711AD2" w:rsidRPr="00CD2C76">
        <w:rPr>
          <w:lang w:val="en-US"/>
        </w:rPr>
        <w:t>to predict</w:t>
      </w:r>
      <w:r w:rsidR="007B4EA8" w:rsidRPr="00CD2C76">
        <w:rPr>
          <w:lang w:val="en-US"/>
        </w:rPr>
        <w:t xml:space="preserve"> the heritable variation of quantitative traits.</w:t>
      </w:r>
      <w:r w:rsidR="00711AD2" w:rsidRPr="00CD2C76">
        <w:rPr>
          <w:lang w:val="en-US"/>
        </w:rPr>
        <w:t xml:space="preserve"> </w:t>
      </w:r>
      <w:r w:rsidR="00575EFF" w:rsidRPr="00CD2C76">
        <w:rPr>
          <w:lang w:val="en-US"/>
        </w:rPr>
        <w:t>The present work aims at testing such hypotheses in nat</w:t>
      </w:r>
      <w:r w:rsidR="0096494E" w:rsidRPr="00CD2C76">
        <w:rPr>
          <w:lang w:val="en-US"/>
        </w:rPr>
        <w:t xml:space="preserve">ural populations of </w:t>
      </w:r>
      <w:r w:rsidR="0096494E" w:rsidRPr="00CD2C76">
        <w:rPr>
          <w:i/>
          <w:lang w:val="en-US"/>
        </w:rPr>
        <w:t xml:space="preserve">P. </w:t>
      </w:r>
      <w:proofErr w:type="spellStart"/>
      <w:r w:rsidR="0096494E" w:rsidRPr="00CD2C76">
        <w:rPr>
          <w:i/>
          <w:lang w:val="en-US"/>
        </w:rPr>
        <w:t>nigra</w:t>
      </w:r>
      <w:proofErr w:type="spellEnd"/>
      <w:r w:rsidR="00575EFF" w:rsidRPr="00CD2C76">
        <w:rPr>
          <w:lang w:val="en-US"/>
        </w:rPr>
        <w:t>.</w:t>
      </w:r>
    </w:p>
    <w:p w:rsidR="003E3B75" w:rsidRPr="00CD2C76" w:rsidRDefault="003E3B75" w:rsidP="00CD2C76">
      <w:pPr>
        <w:spacing w:before="120" w:after="120"/>
        <w:jc w:val="both"/>
        <w:rPr>
          <w:lang w:val="en-US"/>
        </w:rPr>
      </w:pPr>
      <w:r w:rsidRPr="00CD2C76">
        <w:rPr>
          <w:i/>
          <w:lang w:val="en-US"/>
        </w:rPr>
        <w:t>Methods</w:t>
      </w:r>
    </w:p>
    <w:p w:rsidR="00B17607" w:rsidRPr="00CD2C76" w:rsidRDefault="0096494E" w:rsidP="00CD2C76">
      <w:pPr>
        <w:spacing w:after="0"/>
        <w:ind w:firstLine="709"/>
        <w:jc w:val="both"/>
        <w:rPr>
          <w:lang w:val="en-US"/>
        </w:rPr>
      </w:pPr>
      <w:r w:rsidRPr="00CD2C76">
        <w:rPr>
          <w:lang w:val="en-US"/>
        </w:rPr>
        <w:t xml:space="preserve">NIR spectra have been collected on 791 </w:t>
      </w:r>
      <w:r w:rsidR="002F5F62" w:rsidRPr="00CD2C76">
        <w:rPr>
          <w:lang w:val="en-US"/>
        </w:rPr>
        <w:t xml:space="preserve">wood </w:t>
      </w:r>
      <w:r w:rsidR="00B137E2" w:rsidRPr="00CD2C76">
        <w:rPr>
          <w:lang w:val="en-US"/>
        </w:rPr>
        <w:t xml:space="preserve">samples </w:t>
      </w:r>
      <w:r w:rsidRPr="00CD2C76">
        <w:rPr>
          <w:lang w:val="en-US"/>
        </w:rPr>
        <w:t>corresponding to one to three replicates of 28</w:t>
      </w:r>
      <w:r w:rsidR="00DD5AB2" w:rsidRPr="00CD2C76">
        <w:rPr>
          <w:lang w:val="en-US"/>
        </w:rPr>
        <w:t>8</w:t>
      </w:r>
      <w:r w:rsidRPr="00CD2C76">
        <w:rPr>
          <w:lang w:val="en-US"/>
        </w:rPr>
        <w:t xml:space="preserve"> </w:t>
      </w:r>
      <w:r w:rsidR="00B137E2" w:rsidRPr="00CD2C76">
        <w:rPr>
          <w:lang w:val="en-US"/>
        </w:rPr>
        <w:t xml:space="preserve">clones </w:t>
      </w:r>
      <w:r w:rsidRPr="00CD2C76">
        <w:rPr>
          <w:lang w:val="en-US"/>
        </w:rPr>
        <w:t>originated from</w:t>
      </w:r>
      <w:r w:rsidR="00B137E2" w:rsidRPr="00CD2C76">
        <w:rPr>
          <w:lang w:val="en-US"/>
        </w:rPr>
        <w:t xml:space="preserve"> 7 </w:t>
      </w:r>
      <w:proofErr w:type="spellStart"/>
      <w:r w:rsidR="00DD5AB2" w:rsidRPr="00CD2C76">
        <w:rPr>
          <w:lang w:val="en-US"/>
        </w:rPr>
        <w:t>metapopulations</w:t>
      </w:r>
      <w:proofErr w:type="spellEnd"/>
      <w:r w:rsidR="00DD5AB2" w:rsidRPr="00CD2C76">
        <w:rPr>
          <w:lang w:val="en-US"/>
        </w:rPr>
        <w:t xml:space="preserve"> that cover</w:t>
      </w:r>
      <w:r w:rsidRPr="00CD2C76">
        <w:rPr>
          <w:lang w:val="en-US"/>
        </w:rPr>
        <w:t xml:space="preserve"> the native range of </w:t>
      </w:r>
      <w:r w:rsidRPr="00CD2C76">
        <w:rPr>
          <w:i/>
          <w:lang w:val="en-US"/>
        </w:rPr>
        <w:t xml:space="preserve">P. </w:t>
      </w:r>
      <w:proofErr w:type="spellStart"/>
      <w:r w:rsidRPr="00CD2C76">
        <w:rPr>
          <w:i/>
          <w:lang w:val="en-US"/>
        </w:rPr>
        <w:t>nigra</w:t>
      </w:r>
      <w:proofErr w:type="spellEnd"/>
      <w:r w:rsidRPr="00CD2C76">
        <w:rPr>
          <w:lang w:val="en-US"/>
        </w:rPr>
        <w:t xml:space="preserve"> in France and Northern Italy. </w:t>
      </w:r>
      <w:r w:rsidR="002F5F62" w:rsidRPr="00CD2C76">
        <w:rPr>
          <w:lang w:val="en-US"/>
        </w:rPr>
        <w:t xml:space="preserve">The wood </w:t>
      </w:r>
      <w:r w:rsidRPr="00CD2C76">
        <w:rPr>
          <w:lang w:val="en-US"/>
        </w:rPr>
        <w:t xml:space="preserve">samples </w:t>
      </w:r>
      <w:r w:rsidR="002F5F62" w:rsidRPr="00CD2C76">
        <w:rPr>
          <w:lang w:val="en-US"/>
        </w:rPr>
        <w:t xml:space="preserve">consisted in two-year-old stem sections harvested during winter 2009-2010 in three blocks of </w:t>
      </w:r>
      <w:r w:rsidRPr="00CD2C76">
        <w:rPr>
          <w:lang w:val="en-US"/>
        </w:rPr>
        <w:t xml:space="preserve">an experimental </w:t>
      </w:r>
      <w:r w:rsidR="002F5F62" w:rsidRPr="00CD2C76">
        <w:rPr>
          <w:lang w:val="en-US"/>
        </w:rPr>
        <w:t xml:space="preserve">randomized complete block design located in </w:t>
      </w:r>
      <w:proofErr w:type="spellStart"/>
      <w:r w:rsidR="002F5F62" w:rsidRPr="00CD2C76">
        <w:rPr>
          <w:lang w:val="en-US"/>
        </w:rPr>
        <w:t>Orléans</w:t>
      </w:r>
      <w:proofErr w:type="spellEnd"/>
      <w:r w:rsidR="002F5F62" w:rsidRPr="00CD2C76">
        <w:rPr>
          <w:lang w:val="en-US"/>
        </w:rPr>
        <w:t xml:space="preserve">, France. On the same trees, various phenotypes have been </w:t>
      </w:r>
      <w:r w:rsidR="00DC1C92" w:rsidRPr="00CD2C76">
        <w:rPr>
          <w:lang w:val="en-US"/>
        </w:rPr>
        <w:t xml:space="preserve">measured </w:t>
      </w:r>
      <w:r w:rsidR="002F5F62" w:rsidRPr="00CD2C76">
        <w:rPr>
          <w:lang w:val="en-US"/>
        </w:rPr>
        <w:t xml:space="preserve">during two successive </w:t>
      </w:r>
      <w:r w:rsidR="00DC1C92" w:rsidRPr="00CD2C76">
        <w:rPr>
          <w:lang w:val="en-US"/>
        </w:rPr>
        <w:t>rounds of coppicing</w:t>
      </w:r>
      <w:r w:rsidR="002F5F62" w:rsidRPr="00CD2C76">
        <w:rPr>
          <w:lang w:val="en-US"/>
        </w:rPr>
        <w:t xml:space="preserve"> (2008-2009 and 2010-2011), including tree height, diameter</w:t>
      </w:r>
      <w:r w:rsidR="00E67E14" w:rsidRPr="00CD2C76">
        <w:rPr>
          <w:lang w:val="en-US"/>
        </w:rPr>
        <w:t>,</w:t>
      </w:r>
      <w:r w:rsidR="002F5F62" w:rsidRPr="00CD2C76">
        <w:rPr>
          <w:lang w:val="en-US"/>
        </w:rPr>
        <w:t xml:space="preserve"> branching habit</w:t>
      </w:r>
      <w:r w:rsidR="00E67E14" w:rsidRPr="00CD2C76">
        <w:rPr>
          <w:lang w:val="en-US"/>
        </w:rPr>
        <w:t xml:space="preserve">, </w:t>
      </w:r>
      <w:proofErr w:type="gramStart"/>
      <w:r w:rsidR="00E67E14" w:rsidRPr="00CD2C76">
        <w:rPr>
          <w:lang w:val="en-US"/>
        </w:rPr>
        <w:t>bud</w:t>
      </w:r>
      <w:proofErr w:type="gramEnd"/>
      <w:r w:rsidR="00E67E14" w:rsidRPr="00CD2C76">
        <w:rPr>
          <w:lang w:val="en-US"/>
        </w:rPr>
        <w:t xml:space="preserve"> </w:t>
      </w:r>
      <w:r w:rsidR="000A0A55" w:rsidRPr="00CD2C76">
        <w:rPr>
          <w:lang w:val="en-US"/>
        </w:rPr>
        <w:t>flush</w:t>
      </w:r>
      <w:r w:rsidR="00E67E14" w:rsidRPr="00CD2C76">
        <w:rPr>
          <w:lang w:val="en-US"/>
        </w:rPr>
        <w:t>, bud set and rust resistance</w:t>
      </w:r>
      <w:r w:rsidR="002F5F62" w:rsidRPr="00CD2C76">
        <w:rPr>
          <w:lang w:val="en-US"/>
        </w:rPr>
        <w:t>.</w:t>
      </w:r>
      <w:r w:rsidR="008872F7" w:rsidRPr="00CD2C76">
        <w:rPr>
          <w:lang w:val="en-US"/>
        </w:rPr>
        <w:t xml:space="preserve"> After an</w:t>
      </w:r>
      <w:r w:rsidR="00B17607" w:rsidRPr="00CD2C76">
        <w:rPr>
          <w:lang w:val="en-US"/>
        </w:rPr>
        <w:t xml:space="preserve"> exploratory multivariate analys</w:t>
      </w:r>
      <w:r w:rsidR="008872F7" w:rsidRPr="00CD2C76">
        <w:rPr>
          <w:lang w:val="en-US"/>
        </w:rPr>
        <w:t>i</w:t>
      </w:r>
      <w:r w:rsidR="00B17607" w:rsidRPr="00CD2C76">
        <w:rPr>
          <w:lang w:val="en-US"/>
        </w:rPr>
        <w:t xml:space="preserve">s </w:t>
      </w:r>
      <w:r w:rsidR="008872F7" w:rsidRPr="00CD2C76">
        <w:rPr>
          <w:lang w:val="en-US"/>
        </w:rPr>
        <w:t>of NIRS that aimed at</w:t>
      </w:r>
      <w:r w:rsidR="00B17607" w:rsidRPr="00CD2C76">
        <w:rPr>
          <w:lang w:val="en-US"/>
        </w:rPr>
        <w:t xml:space="preserve"> </w:t>
      </w:r>
      <w:r w:rsidR="008872F7" w:rsidRPr="00CD2C76">
        <w:rPr>
          <w:lang w:val="en-US"/>
        </w:rPr>
        <w:t xml:space="preserve">studying </w:t>
      </w:r>
      <w:r w:rsidR="00B17607" w:rsidRPr="00CD2C76">
        <w:rPr>
          <w:lang w:val="en-US"/>
        </w:rPr>
        <w:t xml:space="preserve">the genetic structure of </w:t>
      </w:r>
      <w:r w:rsidR="00B17607" w:rsidRPr="00CD2C76">
        <w:rPr>
          <w:i/>
          <w:lang w:val="en-US"/>
        </w:rPr>
        <w:t xml:space="preserve">P. </w:t>
      </w:r>
      <w:proofErr w:type="spellStart"/>
      <w:r w:rsidR="00B17607" w:rsidRPr="00CD2C76">
        <w:rPr>
          <w:i/>
          <w:lang w:val="en-US"/>
        </w:rPr>
        <w:t>nigra</w:t>
      </w:r>
      <w:proofErr w:type="spellEnd"/>
      <w:r w:rsidR="00B17607" w:rsidRPr="00CD2C76">
        <w:rPr>
          <w:lang w:val="en-US"/>
        </w:rPr>
        <w:t xml:space="preserve"> populations</w:t>
      </w:r>
      <w:r w:rsidR="00500828" w:rsidRPr="00CD2C76">
        <w:rPr>
          <w:lang w:val="en-US"/>
        </w:rPr>
        <w:t>, the genetic variability of NIRS has been evaluated by estimating the broad sense heritability (H</w:t>
      </w:r>
      <w:r w:rsidR="00DC1C92" w:rsidRPr="00CD2C76">
        <w:rPr>
          <w:lang w:val="en-US"/>
        </w:rPr>
        <w:t>²</w:t>
      </w:r>
      <w:r w:rsidR="00500828" w:rsidRPr="00CD2C76">
        <w:rPr>
          <w:lang w:val="en-US"/>
        </w:rPr>
        <w:t xml:space="preserve">) together with the coefficient of genetic differentiation between </w:t>
      </w:r>
      <w:proofErr w:type="spellStart"/>
      <w:r w:rsidR="00500828" w:rsidRPr="00CD2C76">
        <w:rPr>
          <w:lang w:val="en-US"/>
        </w:rPr>
        <w:t>metapopulations</w:t>
      </w:r>
      <w:proofErr w:type="spellEnd"/>
      <w:r w:rsidR="00500828" w:rsidRPr="00CD2C76">
        <w:rPr>
          <w:lang w:val="en-US"/>
        </w:rPr>
        <w:t xml:space="preserve"> (</w:t>
      </w:r>
      <w:proofErr w:type="spellStart"/>
      <w:r w:rsidR="00500828" w:rsidRPr="00CD2C76">
        <w:rPr>
          <w:lang w:val="en-US"/>
        </w:rPr>
        <w:t>Qst</w:t>
      </w:r>
      <w:proofErr w:type="spellEnd"/>
      <w:r w:rsidR="00500828" w:rsidRPr="00CD2C76">
        <w:rPr>
          <w:lang w:val="en-US"/>
        </w:rPr>
        <w:t>) from the application of mixed-linear models to each of the 2001 spectrum wave numbers. Th</w:t>
      </w:r>
      <w:r w:rsidR="008872F7" w:rsidRPr="00CD2C76">
        <w:rPr>
          <w:lang w:val="en-US"/>
        </w:rPr>
        <w:t>en</w:t>
      </w:r>
      <w:r w:rsidR="00B17607" w:rsidRPr="00CD2C76">
        <w:rPr>
          <w:lang w:val="en-US"/>
        </w:rPr>
        <w:t xml:space="preserve">, the ability of NIRS to </w:t>
      </w:r>
      <w:r w:rsidR="008872F7" w:rsidRPr="00CD2C76">
        <w:rPr>
          <w:lang w:val="en-US"/>
        </w:rPr>
        <w:t>predict</w:t>
      </w:r>
      <w:r w:rsidR="00B17607" w:rsidRPr="00CD2C76">
        <w:rPr>
          <w:lang w:val="en-US"/>
        </w:rPr>
        <w:t xml:space="preserve"> </w:t>
      </w:r>
      <w:proofErr w:type="spellStart"/>
      <w:r w:rsidR="00B17607" w:rsidRPr="00CD2C76">
        <w:rPr>
          <w:lang w:val="en-US"/>
        </w:rPr>
        <w:t>metapopulation</w:t>
      </w:r>
      <w:proofErr w:type="spellEnd"/>
      <w:r w:rsidR="00B17607" w:rsidRPr="00CD2C76">
        <w:rPr>
          <w:lang w:val="en-US"/>
        </w:rPr>
        <w:t xml:space="preserve"> </w:t>
      </w:r>
      <w:r w:rsidR="008872F7" w:rsidRPr="00CD2C76">
        <w:rPr>
          <w:lang w:val="en-US"/>
        </w:rPr>
        <w:t xml:space="preserve">membership </w:t>
      </w:r>
      <w:r w:rsidR="00B17607" w:rsidRPr="00CD2C76">
        <w:rPr>
          <w:lang w:val="en-US"/>
        </w:rPr>
        <w:t>has been investigated using multivariate discriminant analys</w:t>
      </w:r>
      <w:r w:rsidR="00D70FE3" w:rsidRPr="00CD2C76">
        <w:rPr>
          <w:lang w:val="en-US"/>
        </w:rPr>
        <w:t>es</w:t>
      </w:r>
      <w:r w:rsidR="00B17607" w:rsidRPr="00CD2C76">
        <w:rPr>
          <w:lang w:val="en-US"/>
        </w:rPr>
        <w:t xml:space="preserve">. </w:t>
      </w:r>
      <w:r w:rsidR="00D70FE3" w:rsidRPr="00CD2C76">
        <w:rPr>
          <w:lang w:val="en-US"/>
        </w:rPr>
        <w:t>Finally, we have evaluated the predictive ability and the accuracy of NIRS for predicting quantitative traits breeding values using partial least square</w:t>
      </w:r>
      <w:r w:rsidR="00DD5AB2" w:rsidRPr="00CD2C76">
        <w:rPr>
          <w:lang w:val="en-US"/>
        </w:rPr>
        <w:t>s</w:t>
      </w:r>
      <w:r w:rsidR="00D70FE3" w:rsidRPr="00CD2C76">
        <w:rPr>
          <w:lang w:val="en-US"/>
        </w:rPr>
        <w:t xml:space="preserve"> </w:t>
      </w:r>
      <w:r w:rsidR="00947116" w:rsidRPr="00CD2C76">
        <w:rPr>
          <w:lang w:val="en-US"/>
        </w:rPr>
        <w:t xml:space="preserve">(PLS) </w:t>
      </w:r>
      <w:r w:rsidR="00D70FE3" w:rsidRPr="00CD2C76">
        <w:rPr>
          <w:lang w:val="en-US"/>
        </w:rPr>
        <w:t>regression.</w:t>
      </w:r>
    </w:p>
    <w:p w:rsidR="003E3B75" w:rsidRPr="00CD2C76" w:rsidRDefault="003E3B75" w:rsidP="00CD2C76">
      <w:pPr>
        <w:spacing w:before="120" w:after="120"/>
        <w:jc w:val="both"/>
        <w:rPr>
          <w:i/>
          <w:lang w:val="en-US"/>
        </w:rPr>
      </w:pPr>
      <w:r w:rsidRPr="00CD2C76">
        <w:rPr>
          <w:i/>
          <w:lang w:val="en-US"/>
        </w:rPr>
        <w:t>Results</w:t>
      </w:r>
    </w:p>
    <w:p w:rsidR="006851F2" w:rsidRPr="00CD2C76" w:rsidRDefault="0038236E" w:rsidP="00CD2C76">
      <w:pPr>
        <w:spacing w:after="0"/>
        <w:ind w:firstLine="709"/>
        <w:jc w:val="both"/>
        <w:rPr>
          <w:lang w:val="en-US"/>
        </w:rPr>
      </w:pPr>
      <w:r w:rsidRPr="00CD2C76">
        <w:rPr>
          <w:lang w:val="en-US"/>
        </w:rPr>
        <w:t>While P</w:t>
      </w:r>
      <w:r w:rsidR="00D87432" w:rsidRPr="00CD2C76">
        <w:rPr>
          <w:lang w:val="en-US"/>
        </w:rPr>
        <w:t xml:space="preserve">rincipal </w:t>
      </w:r>
      <w:r w:rsidRPr="00CD2C76">
        <w:rPr>
          <w:lang w:val="en-US"/>
        </w:rPr>
        <w:t>C</w:t>
      </w:r>
      <w:r w:rsidR="00D87432" w:rsidRPr="00CD2C76">
        <w:rPr>
          <w:lang w:val="en-US"/>
        </w:rPr>
        <w:t xml:space="preserve">omponent </w:t>
      </w:r>
      <w:r w:rsidRPr="00CD2C76">
        <w:rPr>
          <w:lang w:val="en-US"/>
        </w:rPr>
        <w:t>A</w:t>
      </w:r>
      <w:r w:rsidR="00D87432" w:rsidRPr="00CD2C76">
        <w:rPr>
          <w:lang w:val="en-US"/>
        </w:rPr>
        <w:t>nalysis</w:t>
      </w:r>
      <w:r w:rsidRPr="00CD2C76">
        <w:rPr>
          <w:lang w:val="en-US"/>
        </w:rPr>
        <w:t xml:space="preserve"> did not allow </w:t>
      </w:r>
      <w:r w:rsidR="00F10C98" w:rsidRPr="00CD2C76">
        <w:rPr>
          <w:lang w:val="en-US"/>
        </w:rPr>
        <w:t>discriminating</w:t>
      </w:r>
      <w:r w:rsidR="00953B5F" w:rsidRPr="00CD2C76">
        <w:rPr>
          <w:lang w:val="en-US"/>
        </w:rPr>
        <w:t xml:space="preserve"> </w:t>
      </w:r>
      <w:r w:rsidR="00F10C98" w:rsidRPr="00CD2C76">
        <w:rPr>
          <w:i/>
          <w:lang w:val="en-US"/>
        </w:rPr>
        <w:t xml:space="preserve">P. </w:t>
      </w:r>
      <w:proofErr w:type="spellStart"/>
      <w:r w:rsidR="00F10C98" w:rsidRPr="00CD2C76">
        <w:rPr>
          <w:i/>
          <w:lang w:val="en-US"/>
        </w:rPr>
        <w:t>nigra</w:t>
      </w:r>
      <w:proofErr w:type="spellEnd"/>
      <w:r w:rsidR="00953B5F" w:rsidRPr="00CD2C76">
        <w:rPr>
          <w:lang w:val="en-US"/>
        </w:rPr>
        <w:t xml:space="preserve"> </w:t>
      </w:r>
      <w:proofErr w:type="spellStart"/>
      <w:r w:rsidR="00953B5F" w:rsidRPr="00CD2C76">
        <w:rPr>
          <w:lang w:val="en-US"/>
        </w:rPr>
        <w:t>metapopulations</w:t>
      </w:r>
      <w:proofErr w:type="spellEnd"/>
      <w:r w:rsidR="00953B5F" w:rsidRPr="00CD2C76">
        <w:rPr>
          <w:lang w:val="en-US"/>
        </w:rPr>
        <w:t>, F</w:t>
      </w:r>
      <w:r w:rsidR="00D87432" w:rsidRPr="00CD2C76">
        <w:rPr>
          <w:lang w:val="en-US"/>
        </w:rPr>
        <w:t xml:space="preserve">actorial </w:t>
      </w:r>
      <w:r w:rsidR="00953B5F" w:rsidRPr="00CD2C76">
        <w:rPr>
          <w:lang w:val="en-US"/>
        </w:rPr>
        <w:t>D</w:t>
      </w:r>
      <w:r w:rsidR="00D87432" w:rsidRPr="00CD2C76">
        <w:rPr>
          <w:lang w:val="en-US"/>
        </w:rPr>
        <w:t xml:space="preserve">iscriminant </w:t>
      </w:r>
      <w:r w:rsidR="00953B5F" w:rsidRPr="00CD2C76">
        <w:rPr>
          <w:lang w:val="en-US"/>
        </w:rPr>
        <w:t>A</w:t>
      </w:r>
      <w:r w:rsidR="00D87432" w:rsidRPr="00CD2C76">
        <w:rPr>
          <w:lang w:val="en-US"/>
        </w:rPr>
        <w:t>nalysis (FDA)</w:t>
      </w:r>
      <w:r w:rsidR="00953B5F" w:rsidRPr="00CD2C76">
        <w:rPr>
          <w:lang w:val="en-US"/>
        </w:rPr>
        <w:t xml:space="preserve"> highlighted interesting patterns that appeared consistent with </w:t>
      </w:r>
      <w:proofErr w:type="spellStart"/>
      <w:r w:rsidR="00F10C98" w:rsidRPr="00CD2C76">
        <w:rPr>
          <w:lang w:val="en-US"/>
        </w:rPr>
        <w:lastRenderedPageBreak/>
        <w:t>metapopulations</w:t>
      </w:r>
      <w:proofErr w:type="spellEnd"/>
      <w:r w:rsidR="00F10C98" w:rsidRPr="00CD2C76">
        <w:rPr>
          <w:lang w:val="en-US"/>
        </w:rPr>
        <w:t xml:space="preserve"> geographic origin. </w:t>
      </w:r>
      <w:r w:rsidR="006E0072" w:rsidRPr="00CD2C76">
        <w:rPr>
          <w:lang w:val="en-US"/>
        </w:rPr>
        <w:t xml:space="preserve">To assess the discrimination power of the FDA, we performed hierarchical clustering on a distance matrix computed from the projection of individuals onto all </w:t>
      </w:r>
      <w:r w:rsidR="006777A3" w:rsidRPr="00CD2C76">
        <w:rPr>
          <w:lang w:val="en-US"/>
        </w:rPr>
        <w:t>six</w:t>
      </w:r>
      <w:r w:rsidR="006E0072" w:rsidRPr="00CD2C76">
        <w:rPr>
          <w:lang w:val="en-US"/>
        </w:rPr>
        <w:t xml:space="preserve"> FDA components and found that all individuals belonging to a given </w:t>
      </w:r>
      <w:proofErr w:type="spellStart"/>
      <w:r w:rsidR="006E0072" w:rsidRPr="00CD2C76">
        <w:rPr>
          <w:lang w:val="en-US"/>
        </w:rPr>
        <w:t>metapop</w:t>
      </w:r>
      <w:r w:rsidR="00DC1C92" w:rsidRPr="00CD2C76">
        <w:rPr>
          <w:lang w:val="en-US"/>
        </w:rPr>
        <w:t>ulation</w:t>
      </w:r>
      <w:proofErr w:type="spellEnd"/>
      <w:r w:rsidR="006E0072" w:rsidRPr="00CD2C76">
        <w:rPr>
          <w:lang w:val="en-US"/>
        </w:rPr>
        <w:t xml:space="preserve"> clustered together.</w:t>
      </w:r>
      <w:r w:rsidR="00500828" w:rsidRPr="00CD2C76">
        <w:rPr>
          <w:lang w:val="en-US"/>
        </w:rPr>
        <w:t xml:space="preserve"> These results suggest</w:t>
      </w:r>
      <w:r w:rsidR="00662993" w:rsidRPr="00CD2C76">
        <w:rPr>
          <w:lang w:val="en-US"/>
        </w:rPr>
        <w:t>ed</w:t>
      </w:r>
      <w:r w:rsidR="00500828" w:rsidRPr="00CD2C76">
        <w:rPr>
          <w:lang w:val="en-US"/>
        </w:rPr>
        <w:t xml:space="preserve"> that NIRS is able to capture between-</w:t>
      </w:r>
      <w:proofErr w:type="spellStart"/>
      <w:r w:rsidR="00500828" w:rsidRPr="00CD2C76">
        <w:rPr>
          <w:lang w:val="en-US"/>
        </w:rPr>
        <w:t>metapopulation</w:t>
      </w:r>
      <w:proofErr w:type="spellEnd"/>
      <w:r w:rsidR="00500828" w:rsidRPr="00CD2C76">
        <w:rPr>
          <w:lang w:val="en-US"/>
        </w:rPr>
        <w:t xml:space="preserve"> genetic variation.</w:t>
      </w:r>
      <w:r w:rsidR="00D87432" w:rsidRPr="00CD2C76">
        <w:rPr>
          <w:lang w:val="en-US"/>
        </w:rPr>
        <w:t xml:space="preserve"> </w:t>
      </w:r>
      <w:r w:rsidR="008872F7" w:rsidRPr="00CD2C76">
        <w:rPr>
          <w:lang w:val="en-US"/>
        </w:rPr>
        <w:t xml:space="preserve">We confirmed this point by partitioning </w:t>
      </w:r>
      <w:r w:rsidR="00500828" w:rsidRPr="00CD2C76">
        <w:rPr>
          <w:lang w:val="en-US"/>
        </w:rPr>
        <w:t>the phenotypic variation along NIR spectra into genetic</w:t>
      </w:r>
      <w:r w:rsidR="00D87432" w:rsidRPr="00CD2C76">
        <w:rPr>
          <w:lang w:val="en-US"/>
        </w:rPr>
        <w:t>s</w:t>
      </w:r>
      <w:r w:rsidR="00500828" w:rsidRPr="00CD2C76">
        <w:rPr>
          <w:lang w:val="en-US"/>
        </w:rPr>
        <w:t xml:space="preserve"> (including </w:t>
      </w:r>
      <w:proofErr w:type="spellStart"/>
      <w:r w:rsidR="00500828" w:rsidRPr="00CD2C76">
        <w:rPr>
          <w:lang w:val="en-US"/>
        </w:rPr>
        <w:t>metapopulation</w:t>
      </w:r>
      <w:proofErr w:type="spellEnd"/>
      <w:r w:rsidR="00500828" w:rsidRPr="00CD2C76">
        <w:rPr>
          <w:lang w:val="en-US"/>
        </w:rPr>
        <w:t xml:space="preserve"> and genotype nested into </w:t>
      </w:r>
      <w:proofErr w:type="spellStart"/>
      <w:r w:rsidR="00500828" w:rsidRPr="00CD2C76">
        <w:rPr>
          <w:lang w:val="en-US"/>
        </w:rPr>
        <w:t>metapopulation</w:t>
      </w:r>
      <w:proofErr w:type="spellEnd"/>
      <w:r w:rsidR="00500828" w:rsidRPr="00CD2C76">
        <w:rPr>
          <w:lang w:val="en-US"/>
        </w:rPr>
        <w:t>) and residual</w:t>
      </w:r>
      <w:r w:rsidR="00D87432" w:rsidRPr="00CD2C76">
        <w:rPr>
          <w:lang w:val="en-US"/>
        </w:rPr>
        <w:t>s</w:t>
      </w:r>
      <w:r w:rsidR="008872F7" w:rsidRPr="00CD2C76">
        <w:rPr>
          <w:lang w:val="en-US"/>
        </w:rPr>
        <w:t xml:space="preserve">. This analysis showed that </w:t>
      </w:r>
      <w:r w:rsidR="006777A3" w:rsidRPr="00CD2C76">
        <w:rPr>
          <w:lang w:val="en-US"/>
        </w:rPr>
        <w:t xml:space="preserve">many NIR regions </w:t>
      </w:r>
      <w:r w:rsidR="008872F7" w:rsidRPr="00CD2C76">
        <w:rPr>
          <w:lang w:val="en-US"/>
        </w:rPr>
        <w:t>display</w:t>
      </w:r>
      <w:r w:rsidR="003B14F8" w:rsidRPr="00CD2C76">
        <w:rPr>
          <w:lang w:val="en-US"/>
        </w:rPr>
        <w:t>ed</w:t>
      </w:r>
      <w:r w:rsidR="008872F7" w:rsidRPr="00CD2C76">
        <w:rPr>
          <w:lang w:val="en-US"/>
        </w:rPr>
        <w:t xml:space="preserve"> </w:t>
      </w:r>
      <w:r w:rsidR="006777A3" w:rsidRPr="00CD2C76">
        <w:rPr>
          <w:lang w:val="en-US"/>
        </w:rPr>
        <w:t>significant between- and within-</w:t>
      </w:r>
      <w:proofErr w:type="spellStart"/>
      <w:r w:rsidR="006777A3" w:rsidRPr="00CD2C76">
        <w:rPr>
          <w:lang w:val="en-US"/>
        </w:rPr>
        <w:t>metapopulation</w:t>
      </w:r>
      <w:proofErr w:type="spellEnd"/>
      <w:r w:rsidR="006777A3" w:rsidRPr="00CD2C76">
        <w:rPr>
          <w:lang w:val="en-US"/>
        </w:rPr>
        <w:t xml:space="preserve"> genetic variation</w:t>
      </w:r>
      <w:r w:rsidR="00DD5AB2" w:rsidRPr="00CD2C76">
        <w:rPr>
          <w:lang w:val="en-US"/>
        </w:rPr>
        <w:t xml:space="preserve">, with a </w:t>
      </w:r>
      <w:r w:rsidR="006777A3" w:rsidRPr="00CD2C76">
        <w:rPr>
          <w:lang w:val="en-US"/>
        </w:rPr>
        <w:t xml:space="preserve">broad sense heritability of the clonal mean of NIRS </w:t>
      </w:r>
      <w:r w:rsidR="00DD5AB2" w:rsidRPr="00CD2C76">
        <w:rPr>
          <w:lang w:val="en-US"/>
        </w:rPr>
        <w:t xml:space="preserve">being </w:t>
      </w:r>
      <w:r w:rsidR="006777A3" w:rsidRPr="00CD2C76">
        <w:rPr>
          <w:lang w:val="en-US"/>
        </w:rPr>
        <w:t>on average equal to 0.41</w:t>
      </w:r>
      <w:r w:rsidR="00DD5AB2" w:rsidRPr="00CD2C76">
        <w:rPr>
          <w:lang w:val="en-US"/>
        </w:rPr>
        <w:t xml:space="preserve"> and </w:t>
      </w:r>
      <w:r w:rsidR="006777A3" w:rsidRPr="00CD2C76">
        <w:rPr>
          <w:lang w:val="en-US"/>
        </w:rPr>
        <w:t>ranging from 0.01 to 0.84</w:t>
      </w:r>
      <w:r w:rsidR="00370531" w:rsidRPr="00CD2C76">
        <w:rPr>
          <w:lang w:val="en-US"/>
        </w:rPr>
        <w:t>.</w:t>
      </w:r>
    </w:p>
    <w:p w:rsidR="006851F2" w:rsidRPr="00CD2C76" w:rsidRDefault="00BE5BF2" w:rsidP="00CD2C76">
      <w:pPr>
        <w:spacing w:after="0"/>
        <w:ind w:firstLine="709"/>
        <w:jc w:val="both"/>
        <w:rPr>
          <w:lang w:val="en-US"/>
        </w:rPr>
      </w:pPr>
      <w:r w:rsidRPr="00CD2C76">
        <w:rPr>
          <w:lang w:val="en-US"/>
        </w:rPr>
        <w:t xml:space="preserve">Given the fact that NIRS signature was able to capture </w:t>
      </w:r>
      <w:r w:rsidR="008872F7" w:rsidRPr="00CD2C76">
        <w:rPr>
          <w:lang w:val="en-US"/>
        </w:rPr>
        <w:t xml:space="preserve">a significant amount of </w:t>
      </w:r>
      <w:r w:rsidRPr="00CD2C76">
        <w:rPr>
          <w:lang w:val="en-US"/>
        </w:rPr>
        <w:t>genetic</w:t>
      </w:r>
      <w:r w:rsidR="008872F7" w:rsidRPr="00CD2C76">
        <w:rPr>
          <w:lang w:val="en-US"/>
        </w:rPr>
        <w:t xml:space="preserve"> information</w:t>
      </w:r>
      <w:r w:rsidRPr="00CD2C76">
        <w:rPr>
          <w:lang w:val="en-US"/>
        </w:rPr>
        <w:t xml:space="preserve">, we </w:t>
      </w:r>
      <w:r w:rsidR="008872F7" w:rsidRPr="00CD2C76">
        <w:rPr>
          <w:lang w:val="en-US"/>
        </w:rPr>
        <w:t xml:space="preserve">were able to predict the </w:t>
      </w:r>
      <w:proofErr w:type="spellStart"/>
      <w:r w:rsidR="008872F7" w:rsidRPr="00CD2C76">
        <w:rPr>
          <w:lang w:val="en-US"/>
        </w:rPr>
        <w:t>metapopulation</w:t>
      </w:r>
      <w:proofErr w:type="spellEnd"/>
      <w:r w:rsidR="008872F7" w:rsidRPr="00CD2C76">
        <w:rPr>
          <w:lang w:val="en-US"/>
        </w:rPr>
        <w:t xml:space="preserve"> membership with a maximum overall accuracy of 69 % estimated </w:t>
      </w:r>
      <w:r w:rsidR="00DB0F83" w:rsidRPr="00CD2C76">
        <w:rPr>
          <w:lang w:val="en-US"/>
        </w:rPr>
        <w:t xml:space="preserve">through a 4-fold cross-validation repeated 100 times. </w:t>
      </w:r>
      <w:r w:rsidR="00662993" w:rsidRPr="00CD2C76">
        <w:rPr>
          <w:lang w:val="en-US"/>
        </w:rPr>
        <w:t>T</w:t>
      </w:r>
      <w:r w:rsidR="00DB0F83" w:rsidRPr="00CD2C76">
        <w:rPr>
          <w:lang w:val="en-US"/>
        </w:rPr>
        <w:t xml:space="preserve">he prediction performances varied greatly depending on the </w:t>
      </w:r>
      <w:proofErr w:type="spellStart"/>
      <w:r w:rsidR="00DB0F83" w:rsidRPr="00CD2C76">
        <w:rPr>
          <w:lang w:val="en-US"/>
        </w:rPr>
        <w:t>metapopulation</w:t>
      </w:r>
      <w:proofErr w:type="spellEnd"/>
      <w:r w:rsidR="00DB0F83" w:rsidRPr="00CD2C76">
        <w:rPr>
          <w:lang w:val="en-US"/>
        </w:rPr>
        <w:t xml:space="preserve">, some being accurately predicted at more than 80%, suggesting that the </w:t>
      </w:r>
      <w:proofErr w:type="spellStart"/>
      <w:r w:rsidR="00DB0F83" w:rsidRPr="00CD2C76">
        <w:rPr>
          <w:lang w:val="en-US"/>
        </w:rPr>
        <w:t>metapopulation</w:t>
      </w:r>
      <w:proofErr w:type="spellEnd"/>
      <w:r w:rsidR="00DB0F83" w:rsidRPr="00CD2C76">
        <w:rPr>
          <w:lang w:val="en-US"/>
        </w:rPr>
        <w:t xml:space="preserve"> definition might not be optimal</w:t>
      </w:r>
      <w:r w:rsidR="006851F2" w:rsidRPr="00CD2C76">
        <w:rPr>
          <w:lang w:val="en-US"/>
        </w:rPr>
        <w:t>, and/or that</w:t>
      </w:r>
      <w:r w:rsidR="00D63C6F" w:rsidRPr="00CD2C76">
        <w:rPr>
          <w:lang w:val="en-US"/>
        </w:rPr>
        <w:t xml:space="preserve"> admixture between </w:t>
      </w:r>
      <w:r w:rsidR="006851F2" w:rsidRPr="00CD2C76">
        <w:rPr>
          <w:lang w:val="en-US"/>
        </w:rPr>
        <w:t>some</w:t>
      </w:r>
      <w:r w:rsidR="00D63C6F" w:rsidRPr="00CD2C76">
        <w:rPr>
          <w:lang w:val="en-US"/>
        </w:rPr>
        <w:t xml:space="preserve"> population</w:t>
      </w:r>
      <w:r w:rsidR="006851F2" w:rsidRPr="00CD2C76">
        <w:rPr>
          <w:lang w:val="en-US"/>
        </w:rPr>
        <w:t>s</w:t>
      </w:r>
      <w:r w:rsidR="00D63C6F" w:rsidRPr="00CD2C76">
        <w:rPr>
          <w:lang w:val="en-US"/>
        </w:rPr>
        <w:t xml:space="preserve"> </w:t>
      </w:r>
      <w:r w:rsidR="006851F2" w:rsidRPr="00CD2C76">
        <w:rPr>
          <w:lang w:val="en-US"/>
        </w:rPr>
        <w:t>could be suspected.</w:t>
      </w:r>
    </w:p>
    <w:p w:rsidR="00E00E59" w:rsidRPr="00CD2C76" w:rsidRDefault="003B14F8" w:rsidP="00CD2C76">
      <w:pPr>
        <w:spacing w:after="0"/>
        <w:ind w:firstLine="709"/>
        <w:jc w:val="both"/>
        <w:rPr>
          <w:lang w:val="en-US"/>
        </w:rPr>
      </w:pPr>
      <w:r w:rsidRPr="00CD2C76">
        <w:rPr>
          <w:lang w:val="en-US"/>
        </w:rPr>
        <w:t>W</w:t>
      </w:r>
      <w:r w:rsidR="00DB0F83" w:rsidRPr="00CD2C76">
        <w:rPr>
          <w:lang w:val="en-US"/>
        </w:rPr>
        <w:t xml:space="preserve">e were also able to </w:t>
      </w:r>
      <w:r w:rsidR="00F76B38" w:rsidRPr="00CD2C76">
        <w:rPr>
          <w:lang w:val="en-US"/>
        </w:rPr>
        <w:t xml:space="preserve">predict </w:t>
      </w:r>
      <w:r w:rsidRPr="00CD2C76">
        <w:rPr>
          <w:lang w:val="en-US"/>
        </w:rPr>
        <w:t>qua</w:t>
      </w:r>
      <w:r w:rsidR="00947116" w:rsidRPr="00CD2C76">
        <w:rPr>
          <w:lang w:val="en-US"/>
        </w:rPr>
        <w:t xml:space="preserve">ntitative trait </w:t>
      </w:r>
      <w:r w:rsidR="00D63C6F" w:rsidRPr="00CD2C76">
        <w:rPr>
          <w:lang w:val="en-US"/>
        </w:rPr>
        <w:t>clonal means</w:t>
      </w:r>
      <w:r w:rsidR="00947116" w:rsidRPr="00CD2C76">
        <w:rPr>
          <w:lang w:val="en-US"/>
        </w:rPr>
        <w:t xml:space="preserve"> using the corresponding NIRS averaged by clone.</w:t>
      </w:r>
      <w:r w:rsidR="00E67E14" w:rsidRPr="00CD2C76">
        <w:rPr>
          <w:lang w:val="en-US"/>
        </w:rPr>
        <w:t xml:space="preserve"> </w:t>
      </w:r>
      <w:r w:rsidR="000A0A55" w:rsidRPr="00CD2C76">
        <w:rPr>
          <w:lang w:val="en-US"/>
        </w:rPr>
        <w:t>Considering a NIRS global heritability of 1 (similarly to DNA-based markers), t</w:t>
      </w:r>
      <w:r w:rsidR="00E67E14" w:rsidRPr="00CD2C76">
        <w:rPr>
          <w:lang w:val="en-US"/>
        </w:rPr>
        <w:t xml:space="preserve">he prediction accuracy </w:t>
      </w:r>
      <w:r w:rsidR="000A0A55" w:rsidRPr="00CD2C76">
        <w:rPr>
          <w:lang w:val="en-US"/>
        </w:rPr>
        <w:t>estimated thr</w:t>
      </w:r>
      <w:bookmarkStart w:id="0" w:name="_GoBack"/>
      <w:bookmarkEnd w:id="0"/>
      <w:r w:rsidR="000A0A55" w:rsidRPr="00CD2C76">
        <w:rPr>
          <w:lang w:val="en-US"/>
        </w:rPr>
        <w:t xml:space="preserve">ough a 4-fold cross-validation repeated 100 times </w:t>
      </w:r>
      <w:r w:rsidR="00E67E14" w:rsidRPr="00CD2C76">
        <w:rPr>
          <w:lang w:val="en-US"/>
        </w:rPr>
        <w:t>varied greatly depending on the phenotype</w:t>
      </w:r>
      <w:r w:rsidR="000A0A55" w:rsidRPr="00CD2C76">
        <w:rPr>
          <w:lang w:val="en-US"/>
        </w:rPr>
        <w:t xml:space="preserve">, ranging on average </w:t>
      </w:r>
      <w:r w:rsidR="00DD5AB2" w:rsidRPr="00CD2C76">
        <w:rPr>
          <w:lang w:val="en-US"/>
        </w:rPr>
        <w:t>from</w:t>
      </w:r>
      <w:r w:rsidR="000A0A55" w:rsidRPr="00CD2C76">
        <w:rPr>
          <w:lang w:val="en-US"/>
        </w:rPr>
        <w:t xml:space="preserve"> 0.11 for average branching angle in 2011 </w:t>
      </w:r>
      <w:r w:rsidR="00DD5AB2" w:rsidRPr="00CD2C76">
        <w:rPr>
          <w:lang w:val="en-US"/>
        </w:rPr>
        <w:t>to</w:t>
      </w:r>
      <w:r w:rsidR="000A0A55" w:rsidRPr="00CD2C76">
        <w:rPr>
          <w:lang w:val="en-US"/>
        </w:rPr>
        <w:t xml:space="preserve"> 0.81 for diameter in 2009. Accounting for the </w:t>
      </w:r>
      <w:r w:rsidR="00947116" w:rsidRPr="00CD2C76">
        <w:rPr>
          <w:lang w:val="en-US"/>
        </w:rPr>
        <w:t xml:space="preserve">estimated NIRS heritability weighted by the contribution of NIRS </w:t>
      </w:r>
      <w:r w:rsidR="00DD5AB2" w:rsidRPr="00CD2C76">
        <w:rPr>
          <w:lang w:val="en-US"/>
        </w:rPr>
        <w:t>wave numbers</w:t>
      </w:r>
      <w:r w:rsidR="00947116" w:rsidRPr="00CD2C76">
        <w:rPr>
          <w:lang w:val="en-US"/>
        </w:rPr>
        <w:t xml:space="preserve"> to the phenotype prediction in the PLS model</w:t>
      </w:r>
      <w:r w:rsidR="00DD5AB2" w:rsidRPr="00CD2C76">
        <w:rPr>
          <w:lang w:val="en-US"/>
        </w:rPr>
        <w:t>s</w:t>
      </w:r>
      <w:r w:rsidR="000A0A55" w:rsidRPr="00CD2C76">
        <w:rPr>
          <w:lang w:val="en-US"/>
        </w:rPr>
        <w:t xml:space="preserve">, </w:t>
      </w:r>
      <w:r w:rsidR="006567BD" w:rsidRPr="00CD2C76">
        <w:rPr>
          <w:lang w:val="en-US"/>
        </w:rPr>
        <w:t xml:space="preserve">the prediction accuracy </w:t>
      </w:r>
      <w:r w:rsidR="000A0A55" w:rsidRPr="00CD2C76">
        <w:rPr>
          <w:lang w:val="en-US"/>
        </w:rPr>
        <w:t xml:space="preserve">significantly increased. For </w:t>
      </w:r>
      <w:r w:rsidR="006567BD" w:rsidRPr="00CD2C76">
        <w:rPr>
          <w:lang w:val="en-US"/>
        </w:rPr>
        <w:t>some</w:t>
      </w:r>
      <w:r w:rsidR="000A0A55" w:rsidRPr="00CD2C76">
        <w:rPr>
          <w:lang w:val="en-US"/>
        </w:rPr>
        <w:t xml:space="preserve"> phenotypes, these accuracies </w:t>
      </w:r>
      <w:r w:rsidR="00DD5AB2" w:rsidRPr="00CD2C76">
        <w:rPr>
          <w:lang w:val="en-US"/>
        </w:rPr>
        <w:t xml:space="preserve">were </w:t>
      </w:r>
      <w:r w:rsidR="006567BD" w:rsidRPr="00CD2C76">
        <w:rPr>
          <w:lang w:val="en-US"/>
        </w:rPr>
        <w:t xml:space="preserve">even </w:t>
      </w:r>
      <w:r w:rsidR="00E00E59" w:rsidRPr="00CD2C76">
        <w:rPr>
          <w:lang w:val="en-US"/>
        </w:rPr>
        <w:t xml:space="preserve">increased over </w:t>
      </w:r>
      <w:r w:rsidR="000A0A55" w:rsidRPr="00CD2C76">
        <w:rPr>
          <w:lang w:val="en-US"/>
        </w:rPr>
        <w:t xml:space="preserve">1 suggesting that NIRS </w:t>
      </w:r>
      <w:r w:rsidR="006567BD" w:rsidRPr="00CD2C76">
        <w:rPr>
          <w:lang w:val="en-US"/>
        </w:rPr>
        <w:t>wa</w:t>
      </w:r>
      <w:r w:rsidR="00E00E59" w:rsidRPr="00CD2C76">
        <w:rPr>
          <w:lang w:val="en-US"/>
        </w:rPr>
        <w:t>s</w:t>
      </w:r>
      <w:r w:rsidR="000A0A55" w:rsidRPr="00CD2C76">
        <w:rPr>
          <w:lang w:val="en-US"/>
        </w:rPr>
        <w:t xml:space="preserve"> able to predict non genetic variability. </w:t>
      </w:r>
      <w:r w:rsidR="00E00E59" w:rsidRPr="00CD2C76">
        <w:rPr>
          <w:lang w:val="en-US"/>
        </w:rPr>
        <w:t xml:space="preserve">This was noticeably the case for the phenotypes related to the </w:t>
      </w:r>
      <w:r w:rsidR="00DD5AB2" w:rsidRPr="00CD2C76">
        <w:rPr>
          <w:lang w:val="en-US"/>
        </w:rPr>
        <w:t>morphology</w:t>
      </w:r>
      <w:r w:rsidR="00E00E59" w:rsidRPr="00CD2C76">
        <w:rPr>
          <w:lang w:val="en-US"/>
        </w:rPr>
        <w:t xml:space="preserve"> of the samples analyzed by NIRS, like height and diameter</w:t>
      </w:r>
      <w:r w:rsidR="006567BD" w:rsidRPr="00CD2C76">
        <w:rPr>
          <w:lang w:val="en-US"/>
        </w:rPr>
        <w:t xml:space="preserve"> measured</w:t>
      </w:r>
      <w:r w:rsidR="00E00E59" w:rsidRPr="00CD2C76">
        <w:rPr>
          <w:lang w:val="en-US"/>
        </w:rPr>
        <w:t xml:space="preserve"> in 2009. In this case one could expect some correlation between the quantity and quality of biomass produced</w:t>
      </w:r>
      <w:r w:rsidR="00662993" w:rsidRPr="00CD2C76">
        <w:rPr>
          <w:lang w:val="en-US"/>
        </w:rPr>
        <w:t>,</w:t>
      </w:r>
      <w:r w:rsidR="00E00E59" w:rsidRPr="00CD2C76">
        <w:rPr>
          <w:lang w:val="en-US"/>
        </w:rPr>
        <w:t xml:space="preserve"> which would </w:t>
      </w:r>
      <w:r w:rsidR="00662993" w:rsidRPr="00CD2C76">
        <w:rPr>
          <w:lang w:val="en-US"/>
        </w:rPr>
        <w:t>increase</w:t>
      </w:r>
      <w:r w:rsidR="00E00E59" w:rsidRPr="00CD2C76">
        <w:rPr>
          <w:lang w:val="en-US"/>
        </w:rPr>
        <w:t xml:space="preserve"> the phenotypic prediction over the trait heritability. More surprisingly,</w:t>
      </w:r>
      <w:r w:rsidR="00662993" w:rsidRPr="00CD2C76">
        <w:rPr>
          <w:lang w:val="en-US"/>
        </w:rPr>
        <w:t xml:space="preserve"> we also got some</w:t>
      </w:r>
      <w:r w:rsidR="00E00E59" w:rsidRPr="00CD2C76">
        <w:rPr>
          <w:lang w:val="en-US"/>
        </w:rPr>
        <w:t xml:space="preserve"> </w:t>
      </w:r>
      <w:r w:rsidR="00662993" w:rsidRPr="00CD2C76">
        <w:rPr>
          <w:lang w:val="en-US"/>
        </w:rPr>
        <w:t xml:space="preserve">prediction accuracies over 1 for </w:t>
      </w:r>
      <w:r w:rsidR="006567BD" w:rsidRPr="00CD2C76">
        <w:rPr>
          <w:lang w:val="en-US"/>
        </w:rPr>
        <w:t>traits related to phenology</w:t>
      </w:r>
      <w:r w:rsidR="00662993" w:rsidRPr="00CD2C76">
        <w:rPr>
          <w:lang w:val="en-US"/>
        </w:rPr>
        <w:t xml:space="preserve"> </w:t>
      </w:r>
      <w:r w:rsidR="00BD22BE" w:rsidRPr="00CD2C76">
        <w:rPr>
          <w:lang w:val="en-US"/>
        </w:rPr>
        <w:t>and rust resistance</w:t>
      </w:r>
      <w:r w:rsidR="00662993" w:rsidRPr="00CD2C76">
        <w:rPr>
          <w:lang w:val="en-US"/>
        </w:rPr>
        <w:t>, underling the potential interest of NIRS for predicting phenotypes not related to wood physical or chemical properties.</w:t>
      </w:r>
    </w:p>
    <w:p w:rsidR="003E3B75" w:rsidRPr="00CD2C76" w:rsidRDefault="003E3B75" w:rsidP="00CD2C76">
      <w:pPr>
        <w:spacing w:before="120" w:after="120"/>
        <w:jc w:val="both"/>
        <w:rPr>
          <w:i/>
          <w:lang w:val="en-US"/>
        </w:rPr>
      </w:pPr>
      <w:r w:rsidRPr="00CD2C76">
        <w:rPr>
          <w:i/>
          <w:lang w:val="en-US"/>
        </w:rPr>
        <w:t>Conclusions</w:t>
      </w:r>
    </w:p>
    <w:p w:rsidR="003E3B75" w:rsidRPr="00CD2C76" w:rsidRDefault="006567BD" w:rsidP="00CD2C76">
      <w:pPr>
        <w:spacing w:after="0"/>
        <w:ind w:firstLine="709"/>
        <w:jc w:val="both"/>
        <w:rPr>
          <w:lang w:val="en-US"/>
        </w:rPr>
      </w:pPr>
      <w:r w:rsidRPr="00CD2C76">
        <w:rPr>
          <w:lang w:val="en-US"/>
        </w:rPr>
        <w:t>In conclusion, the present study demonstrates that NIRS is a powerful high-throughput technique that could be used as a biological marker for exploring the genetic diversity and predicting quantitative phenotype of interest in breeding.</w:t>
      </w:r>
      <w:r w:rsidR="00E12373" w:rsidRPr="00CD2C76">
        <w:rPr>
          <w:lang w:val="en-US"/>
        </w:rPr>
        <w:t xml:space="preserve"> </w:t>
      </w:r>
      <w:r w:rsidR="006851F2" w:rsidRPr="00CD2C76">
        <w:rPr>
          <w:lang w:val="en-US"/>
        </w:rPr>
        <w:t xml:space="preserve">In perspective, </w:t>
      </w:r>
      <w:r w:rsidR="00E12373" w:rsidRPr="00CD2C76">
        <w:rPr>
          <w:lang w:val="en-US"/>
        </w:rPr>
        <w:t>our results</w:t>
      </w:r>
      <w:r w:rsidR="006851F2" w:rsidRPr="00CD2C76">
        <w:rPr>
          <w:lang w:val="en-US"/>
        </w:rPr>
        <w:t xml:space="preserve"> should and will be complemented in a near future by comparing the accuracy of NIRS predictions with those reached using DNA-based marker on the same dataset.</w:t>
      </w:r>
    </w:p>
    <w:p w:rsidR="006567BD" w:rsidRPr="00CD2C76" w:rsidRDefault="006567BD" w:rsidP="00CD2C76">
      <w:pPr>
        <w:spacing w:before="120" w:after="120"/>
        <w:jc w:val="both"/>
        <w:rPr>
          <w:i/>
          <w:lang w:val="en-US"/>
        </w:rPr>
      </w:pPr>
      <w:r w:rsidRPr="00CD2C76">
        <w:rPr>
          <w:i/>
          <w:lang w:val="en-US"/>
        </w:rPr>
        <w:t>References</w:t>
      </w:r>
    </w:p>
    <w:p w:rsidR="00243C59" w:rsidRPr="00CD2C76" w:rsidRDefault="00243C59" w:rsidP="00CD2C76">
      <w:pPr>
        <w:spacing w:after="0"/>
        <w:ind w:left="284" w:hanging="284"/>
        <w:jc w:val="both"/>
        <w:rPr>
          <w:lang w:val="en-US"/>
        </w:rPr>
      </w:pPr>
      <w:proofErr w:type="gramStart"/>
      <w:r w:rsidRPr="00CD2C76">
        <w:rPr>
          <w:lang w:val="en-US"/>
        </w:rPr>
        <w:t>O’Reilly-</w:t>
      </w:r>
      <w:proofErr w:type="spellStart"/>
      <w:r w:rsidRPr="00CD2C76">
        <w:rPr>
          <w:lang w:val="en-US"/>
        </w:rPr>
        <w:t>Wapstra</w:t>
      </w:r>
      <w:proofErr w:type="spellEnd"/>
      <w:r w:rsidRPr="00CD2C76">
        <w:rPr>
          <w:lang w:val="en-US"/>
        </w:rPr>
        <w:t xml:space="preserve"> JM, Freeman JS, Barbour R, </w:t>
      </w:r>
      <w:proofErr w:type="spellStart"/>
      <w:r w:rsidRPr="00CD2C76">
        <w:rPr>
          <w:lang w:val="en-US"/>
        </w:rPr>
        <w:t>Vaillancourt</w:t>
      </w:r>
      <w:proofErr w:type="spellEnd"/>
      <w:r w:rsidRPr="00CD2C76">
        <w:rPr>
          <w:lang w:val="en-US"/>
        </w:rPr>
        <w:t xml:space="preserve"> RE, Potts BM (2013) Genetic analysis of the near-infrared spectral </w:t>
      </w:r>
      <w:proofErr w:type="spellStart"/>
      <w:r w:rsidRPr="00CD2C76">
        <w:rPr>
          <w:lang w:val="en-US"/>
        </w:rPr>
        <w:t>phenome</w:t>
      </w:r>
      <w:proofErr w:type="spellEnd"/>
      <w:r w:rsidRPr="00CD2C76">
        <w:rPr>
          <w:lang w:val="en-US"/>
        </w:rPr>
        <w:t xml:space="preserve"> of a global Eucalyptus species.</w:t>
      </w:r>
      <w:proofErr w:type="gramEnd"/>
      <w:r w:rsidRPr="00CD2C76">
        <w:rPr>
          <w:lang w:val="en-US"/>
        </w:rPr>
        <w:t xml:space="preserve"> Tree Genetics &amp; Genomes, Online First.</w:t>
      </w:r>
    </w:p>
    <w:p w:rsidR="00243C59" w:rsidRPr="00CD2C76" w:rsidRDefault="00243C59" w:rsidP="00CD2C76">
      <w:pPr>
        <w:spacing w:after="0"/>
        <w:ind w:left="284" w:hanging="284"/>
        <w:jc w:val="both"/>
        <w:rPr>
          <w:lang w:val="en-US"/>
        </w:rPr>
      </w:pPr>
      <w:r w:rsidRPr="00CD2C76">
        <w:rPr>
          <w:lang w:val="en-US"/>
        </w:rPr>
        <w:t xml:space="preserve">Posada H, </w:t>
      </w:r>
      <w:proofErr w:type="spellStart"/>
      <w:r w:rsidRPr="00CD2C76">
        <w:rPr>
          <w:lang w:val="en-US"/>
        </w:rPr>
        <w:t>Ferrand</w:t>
      </w:r>
      <w:proofErr w:type="spellEnd"/>
      <w:r w:rsidRPr="00CD2C76">
        <w:rPr>
          <w:lang w:val="en-US"/>
        </w:rPr>
        <w:t xml:space="preserve"> M, </w:t>
      </w:r>
      <w:proofErr w:type="spellStart"/>
      <w:r w:rsidRPr="00CD2C76">
        <w:rPr>
          <w:lang w:val="en-US"/>
        </w:rPr>
        <w:t>Davrieux</w:t>
      </w:r>
      <w:proofErr w:type="spellEnd"/>
      <w:r w:rsidRPr="00CD2C76">
        <w:rPr>
          <w:lang w:val="en-US"/>
        </w:rPr>
        <w:t xml:space="preserve"> F, </w:t>
      </w:r>
      <w:proofErr w:type="spellStart"/>
      <w:r w:rsidRPr="00CD2C76">
        <w:rPr>
          <w:lang w:val="en-US"/>
        </w:rPr>
        <w:t>Lashermes</w:t>
      </w:r>
      <w:proofErr w:type="spellEnd"/>
      <w:r w:rsidRPr="00CD2C76">
        <w:rPr>
          <w:lang w:val="en-US"/>
        </w:rPr>
        <w:t xml:space="preserve"> P, Bertrand B (2009) Stability across environments of the coffee variety near infrared spectral signature. Heredity 102: 113-119</w:t>
      </w:r>
    </w:p>
    <w:p w:rsidR="00243C59" w:rsidRPr="00CD2C76" w:rsidRDefault="00243C59" w:rsidP="00CD2C76">
      <w:pPr>
        <w:spacing w:after="0"/>
        <w:ind w:left="284" w:hanging="284"/>
        <w:jc w:val="both"/>
        <w:rPr>
          <w:rFonts w:cs="Arial"/>
          <w:color w:val="000000"/>
          <w:shd w:val="clear" w:color="auto" w:fill="FFFFFF"/>
          <w:lang w:val="en-US"/>
        </w:rPr>
      </w:pPr>
      <w:r w:rsidRPr="00CD2C76">
        <w:rPr>
          <w:rFonts w:cs="Arial"/>
          <w:color w:val="000000"/>
          <w:shd w:val="clear" w:color="auto" w:fill="FFFFFF"/>
          <w:lang w:val="en-US"/>
        </w:rPr>
        <w:lastRenderedPageBreak/>
        <w:t xml:space="preserve">Richardson AD, Reeves III JB, </w:t>
      </w:r>
      <w:proofErr w:type="spellStart"/>
      <w:r w:rsidRPr="00CD2C76">
        <w:rPr>
          <w:rFonts w:cs="Arial"/>
          <w:color w:val="000000"/>
          <w:shd w:val="clear" w:color="auto" w:fill="FFFFFF"/>
          <w:lang w:val="en-US"/>
        </w:rPr>
        <w:t>Gregoire</w:t>
      </w:r>
      <w:proofErr w:type="spellEnd"/>
      <w:r w:rsidRPr="00CD2C76">
        <w:rPr>
          <w:rFonts w:cs="Arial"/>
          <w:color w:val="000000"/>
          <w:shd w:val="clear" w:color="auto" w:fill="FFFFFF"/>
          <w:lang w:val="en-US"/>
        </w:rPr>
        <w:t xml:space="preserve"> TG (2004) Multivariate analyses of visible/near infrared (VIS/NIR) absorbance spectra reveal underlying spectral differences among dried, ground conifer needle samples from different growth environments. New </w:t>
      </w:r>
      <w:proofErr w:type="spellStart"/>
      <w:r w:rsidRPr="00CD2C76">
        <w:rPr>
          <w:rFonts w:cs="Arial"/>
          <w:color w:val="000000"/>
          <w:shd w:val="clear" w:color="auto" w:fill="FFFFFF"/>
          <w:lang w:val="en-US"/>
        </w:rPr>
        <w:t>Phytologist</w:t>
      </w:r>
      <w:proofErr w:type="spellEnd"/>
      <w:r w:rsidRPr="00CD2C76">
        <w:rPr>
          <w:rFonts w:cs="Arial"/>
          <w:color w:val="000000"/>
          <w:shd w:val="clear" w:color="auto" w:fill="FFFFFF"/>
          <w:lang w:val="en-US"/>
        </w:rPr>
        <w:t xml:space="preserve"> 161: 291-301</w:t>
      </w:r>
    </w:p>
    <w:p w:rsidR="000A0AF5" w:rsidRPr="00CD2C76" w:rsidRDefault="006567BD" w:rsidP="00CD2C76">
      <w:pPr>
        <w:spacing w:after="0"/>
        <w:ind w:left="284" w:hanging="284"/>
        <w:jc w:val="both"/>
        <w:rPr>
          <w:lang w:val="en-US"/>
        </w:rPr>
      </w:pPr>
      <w:proofErr w:type="spellStart"/>
      <w:r w:rsidRPr="00CD2C76">
        <w:rPr>
          <w:lang w:val="en-US"/>
        </w:rPr>
        <w:t>Tsuchikawa</w:t>
      </w:r>
      <w:proofErr w:type="spellEnd"/>
      <w:r w:rsidRPr="00CD2C76">
        <w:rPr>
          <w:lang w:val="en-US"/>
        </w:rPr>
        <w:t xml:space="preserve"> S (2007) A Review of Recent Near Infrared Research for Wood and Paper. Applied Spectroscopy Reviews 42:</w:t>
      </w:r>
      <w:r w:rsidR="00243C59" w:rsidRPr="00CD2C76">
        <w:rPr>
          <w:lang w:val="en-US"/>
        </w:rPr>
        <w:t xml:space="preserve"> </w:t>
      </w:r>
      <w:r w:rsidRPr="00CD2C76">
        <w:rPr>
          <w:lang w:val="en-US"/>
        </w:rPr>
        <w:t>43-71</w:t>
      </w:r>
    </w:p>
    <w:p w:rsidR="00500828" w:rsidRPr="00CD2C76" w:rsidRDefault="006567BD" w:rsidP="00CD2C76">
      <w:pPr>
        <w:jc w:val="both"/>
        <w:rPr>
          <w:lang w:val="en-US"/>
        </w:rPr>
      </w:pPr>
      <w:r w:rsidRPr="00CD2C76">
        <w:rPr>
          <w:lang w:val="en-US"/>
        </w:rPr>
        <w:br w:type="page"/>
      </w:r>
      <w:r w:rsidR="00243C59" w:rsidRPr="00CD2C76">
        <w:rPr>
          <w:lang w:val="en-US"/>
        </w:rPr>
        <w:lastRenderedPageBreak/>
        <w:t>F</w:t>
      </w:r>
      <w:r w:rsidRPr="00CD2C76">
        <w:rPr>
          <w:lang w:val="en-US"/>
        </w:rPr>
        <w:t>igures / Tables</w:t>
      </w:r>
    </w:p>
    <w:p w:rsidR="0064762F" w:rsidRPr="00CD2C76" w:rsidRDefault="0064762F" w:rsidP="00CD2C76">
      <w:pPr>
        <w:jc w:val="both"/>
        <w:rPr>
          <w:lang w:val="en-US"/>
        </w:rPr>
      </w:pPr>
      <w:proofErr w:type="gramStart"/>
      <w:r w:rsidRPr="00CD2C76">
        <w:rPr>
          <w:lang w:val="en-US"/>
        </w:rPr>
        <w:t>Figure 1.</w:t>
      </w:r>
      <w:proofErr w:type="gramEnd"/>
      <w:r w:rsidRPr="00CD2C76">
        <w:rPr>
          <w:lang w:val="en-US"/>
        </w:rPr>
        <w:t xml:space="preserve"> Multivariate analyses of NIRS: PCA (a), FDA (b) and clustering on FDA axes</w:t>
      </w:r>
    </w:p>
    <w:p w:rsidR="006567BD" w:rsidRPr="00CD2C76" w:rsidRDefault="00243C59" w:rsidP="00CD2C76">
      <w:pPr>
        <w:jc w:val="both"/>
        <w:rPr>
          <w:lang w:val="en-US"/>
        </w:rPr>
      </w:pPr>
      <w:r w:rsidRPr="00CD2C76">
        <w:rPr>
          <w:noProof/>
          <w:lang w:eastAsia="fr-FR"/>
        </w:rPr>
        <w:drawing>
          <wp:inline distT="0" distB="0" distL="0" distR="0" wp14:anchorId="1F9D7476" wp14:editId="76899A6C">
            <wp:extent cx="5760720" cy="44773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_FDA_NTBOrl_20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7BD" w:rsidRPr="00CD2C76" w:rsidRDefault="006567BD" w:rsidP="00CD2C76">
      <w:pPr>
        <w:jc w:val="both"/>
        <w:rPr>
          <w:lang w:val="en-US"/>
        </w:rPr>
      </w:pPr>
    </w:p>
    <w:p w:rsidR="0064762F" w:rsidRPr="00CD2C76" w:rsidRDefault="0064762F" w:rsidP="00CD2C76">
      <w:pPr>
        <w:jc w:val="both"/>
        <w:rPr>
          <w:lang w:val="en-US"/>
        </w:rPr>
      </w:pPr>
      <w:proofErr w:type="gramStart"/>
      <w:r w:rsidRPr="00CD2C76">
        <w:rPr>
          <w:lang w:val="en-US"/>
        </w:rPr>
        <w:t>Figure 2.</w:t>
      </w:r>
      <w:proofErr w:type="gramEnd"/>
      <w:r w:rsidRPr="00CD2C76">
        <w:rPr>
          <w:lang w:val="en-US"/>
        </w:rPr>
        <w:t xml:space="preserve"> Partition of phenotypic variances along NIRS into </w:t>
      </w:r>
      <w:proofErr w:type="spellStart"/>
      <w:r w:rsidRPr="00CD2C76">
        <w:rPr>
          <w:lang w:val="en-US"/>
        </w:rPr>
        <w:t>metapopulation</w:t>
      </w:r>
      <w:proofErr w:type="spellEnd"/>
      <w:r w:rsidRPr="00CD2C76">
        <w:rPr>
          <w:lang w:val="en-US"/>
        </w:rPr>
        <w:t xml:space="preserve"> (red), clone nested into </w:t>
      </w:r>
      <w:proofErr w:type="spellStart"/>
      <w:r w:rsidRPr="00CD2C76">
        <w:rPr>
          <w:lang w:val="en-US"/>
        </w:rPr>
        <w:t>metapopulation</w:t>
      </w:r>
      <w:proofErr w:type="spellEnd"/>
      <w:r w:rsidRPr="00CD2C76">
        <w:rPr>
          <w:lang w:val="en-US"/>
        </w:rPr>
        <w:t xml:space="preserve"> (green) and residuals (blue). Corresponding NIRS (median and IQR) are also represented in light grey.</w:t>
      </w:r>
    </w:p>
    <w:p w:rsidR="0064762F" w:rsidRPr="00CD2C76" w:rsidRDefault="0064762F" w:rsidP="00CD2C76">
      <w:pPr>
        <w:jc w:val="both"/>
        <w:rPr>
          <w:lang w:val="en-US"/>
        </w:rPr>
      </w:pPr>
      <w:r w:rsidRPr="00CD2C76">
        <w:rPr>
          <w:noProof/>
          <w:lang w:eastAsia="fr-FR"/>
        </w:rPr>
        <w:drawing>
          <wp:inline distT="0" distB="0" distL="0" distR="0" wp14:anchorId="17F60CFC" wp14:editId="555CDAAA">
            <wp:extent cx="4104168" cy="1251720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06"/>
                    <a:stretch/>
                  </pic:blipFill>
                  <pic:spPr bwMode="auto">
                    <a:xfrm>
                      <a:off x="0" y="0"/>
                      <a:ext cx="4120097" cy="125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2C76">
        <w:rPr>
          <w:noProof/>
          <w:lang w:eastAsia="fr-FR"/>
        </w:rPr>
        <w:drawing>
          <wp:inline distT="0" distB="0" distL="0" distR="0" wp14:anchorId="663D91A9" wp14:editId="6309DB6E">
            <wp:extent cx="4104168" cy="125804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843" cy="1262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0AA" w:rsidRPr="00CD2C76" w:rsidRDefault="003E10AA" w:rsidP="00CD2C76">
      <w:pPr>
        <w:jc w:val="both"/>
        <w:rPr>
          <w:lang w:val="en-US"/>
        </w:rPr>
      </w:pPr>
      <w:r w:rsidRPr="00CD2C76">
        <w:rPr>
          <w:lang w:val="en-US"/>
        </w:rPr>
        <w:lastRenderedPageBreak/>
        <w:t xml:space="preserve">Table1. </w:t>
      </w:r>
      <w:proofErr w:type="gramStart"/>
      <w:r w:rsidR="001F7C5B" w:rsidRPr="00CD2C76">
        <w:rPr>
          <w:lang w:val="en-US"/>
        </w:rPr>
        <w:t>NIRS prediction accuracies (minimum / mean / maximum) for various quantitative traits.</w:t>
      </w:r>
      <w:proofErr w:type="gramEnd"/>
      <w:r w:rsidR="001F7C5B" w:rsidRPr="00CD2C76">
        <w:rPr>
          <w:lang w:val="en-US"/>
        </w:rPr>
        <w:t xml:space="preserve"> The column “Accuracy” gives the accuracy given a NIRS heritability of 1, while the column “Accuracy_H2_spec” account for NIRS estimated heritability (given in the column “H2_spec_pls”). The broad sense heritability of the traits clonal mean of traits is indicated in the column (“H2_mean”).</w:t>
      </w:r>
    </w:p>
    <w:tbl>
      <w:tblPr>
        <w:tblW w:w="86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114"/>
        <w:gridCol w:w="1789"/>
        <w:gridCol w:w="1789"/>
        <w:gridCol w:w="1816"/>
      </w:tblGrid>
      <w:tr w:rsidR="003E10AA" w:rsidRPr="00CD2C76" w:rsidTr="001F7C5B">
        <w:trPr>
          <w:trHeight w:val="300"/>
        </w:trPr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Trait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H2_mean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1F7C5B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CD2C76">
              <w:rPr>
                <w:rFonts w:eastAsia="Times New Roman" w:cs="Times New Roman"/>
                <w:color w:val="000000"/>
                <w:lang w:eastAsia="fr-FR"/>
              </w:rPr>
              <w:t>Accuracy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H2_spec_pls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1F7C5B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Accuracy_H2_spec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HT08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0.50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0.49 / 0.56 / 0.63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0.13 / 0.45 / 0.56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0.67 / 0.88 / 1.36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HT09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0.72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0.67 / 0.76 / 0.82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0.16 / 0.43 / 0.56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1.02 / 1.19 / 1.68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CIR09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0.66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0.75 / 0.81 / 0.86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0.17 / 0.44 / 0.54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1.11 / 1.27 / 1.8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HT10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0.66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0.36 / 0.45 / 0.5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0.13 / 0.41 / 0.54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0.6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  <w:r w:rsidRPr="00CD2C76">
              <w:rPr>
                <w:rFonts w:eastAsia="Times New Roman" w:cs="Times New Roman"/>
                <w:color w:val="000000"/>
                <w:lang w:eastAsia="fr-FR"/>
              </w:rPr>
              <w:t xml:space="preserve"> / 0.73 / 1.01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CIR10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0.66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0.41 / 0.51 / 0.56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0.17 / 0.42 / 0.52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0.64 / 0.81 / 1.13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HT11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0.77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0.43 / 0.53 / 0.58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0.16 / 0.43 / 0.54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0.65 / 0.85 / 1.35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CIR11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0.73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0.62 / 0.66 / 0.7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0.18 / 0.42 / 0.51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0.87 / 1.05 / 1.51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AGM09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0.67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0.26 / 0.47 / 0.54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0.19 / 0.46 / 0.53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0.6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  <w:r w:rsidRPr="00CD2C76">
              <w:rPr>
                <w:rFonts w:eastAsia="Times New Roman" w:cs="Times New Roman"/>
                <w:color w:val="000000"/>
                <w:lang w:eastAsia="fr-FR"/>
              </w:rPr>
              <w:t xml:space="preserve"> / 0.7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  <w:r w:rsidRPr="00CD2C76">
              <w:rPr>
                <w:rFonts w:eastAsia="Times New Roman" w:cs="Times New Roman"/>
                <w:color w:val="000000"/>
                <w:lang w:eastAsia="fr-FR"/>
              </w:rPr>
              <w:t xml:space="preserve"> / 0.74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AGM11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0.57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0.06 / 0.11 / 0.16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0.2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  <w:r w:rsidRPr="00CD2C76">
              <w:rPr>
                <w:rFonts w:eastAsia="Times New Roman" w:cs="Times New Roman"/>
                <w:color w:val="000000"/>
                <w:lang w:eastAsia="fr-FR"/>
              </w:rPr>
              <w:t xml:space="preserve"> / 0.44 / 0.57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0.09 / 0.17 / 0.24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SYL09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0.71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0.28 / 0.4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  <w:r w:rsidRPr="00CD2C76">
              <w:rPr>
                <w:rFonts w:eastAsia="Times New Roman" w:cs="Times New Roman"/>
                <w:color w:val="000000"/>
                <w:lang w:eastAsia="fr-FR"/>
              </w:rPr>
              <w:t xml:space="preserve"> / 0.49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0.23 / 0.4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  <w:r w:rsidRPr="00CD2C76">
              <w:rPr>
                <w:rFonts w:eastAsia="Times New Roman" w:cs="Times New Roman"/>
                <w:color w:val="000000"/>
                <w:lang w:eastAsia="fr-FR"/>
              </w:rPr>
              <w:t xml:space="preserve"> / 0.47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0.59 / 0.64 / 0.75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SYL11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0.10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0.19 / 0.37 / 0.52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0.11 / 0.42 / 0.52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0.27 / 0.61 / 1.09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DEB09_104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0.94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0.58 / 0.64 / 0.66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  <w:r w:rsidRPr="00CD2C76">
              <w:rPr>
                <w:rFonts w:eastAsia="Times New Roman" w:cs="Times New Roman"/>
                <w:color w:val="000000"/>
                <w:lang w:eastAsia="fr-FR"/>
              </w:rPr>
              <w:t xml:space="preserve"> / 0.45 / 0.56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0.84 / 1.05 / 2.05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DEB3_FITTED_DOY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0.97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0.61 / 0.65 / 0.67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0.23 / 0.49 / 0.59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0.84 / 0.96 / 1.4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BS09_254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0.80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0.35 / 0.47 / 0.55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0.19 / 0.43 / 0.54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0.51 / 0.75 / 1.09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DATE15_FITTED_DOY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0.81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0.43 / 0.47 / 0.53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0.21 / 0.43 / 0.53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0.6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  <w:r w:rsidRPr="00CD2C76">
              <w:rPr>
                <w:rFonts w:eastAsia="Times New Roman" w:cs="Times New Roman"/>
                <w:color w:val="000000"/>
                <w:lang w:eastAsia="fr-FR"/>
              </w:rPr>
              <w:t xml:space="preserve"> / 0.74 / 0.96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DATE25_FITTED_DOY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0.55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0.14 / 0.3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  <w:r w:rsidRPr="00CD2C76">
              <w:rPr>
                <w:rFonts w:eastAsia="Times New Roman" w:cs="Times New Roman"/>
                <w:color w:val="000000"/>
                <w:lang w:eastAsia="fr-FR"/>
              </w:rPr>
              <w:t xml:space="preserve"> / 0.45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0.22 / 0.43 / 0.5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0.3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  <w:r w:rsidRPr="00CD2C76">
              <w:rPr>
                <w:rFonts w:eastAsia="Times New Roman" w:cs="Times New Roman"/>
                <w:color w:val="000000"/>
                <w:lang w:eastAsia="fr-FR"/>
              </w:rPr>
              <w:t xml:space="preserve"> / 0.45 / 0.64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NOTEMAX09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0.79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0.13 / 0.36 / 0.46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0.2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  <w:r w:rsidRPr="00CD2C76">
              <w:rPr>
                <w:rFonts w:eastAsia="Times New Roman" w:cs="Times New Roman"/>
                <w:color w:val="000000"/>
                <w:lang w:eastAsia="fr-FR"/>
              </w:rPr>
              <w:t xml:space="preserve"> / 0.47 / 0.6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0.29 / 0.53 / 0.71</w:t>
            </w:r>
          </w:p>
        </w:tc>
      </w:tr>
      <w:tr w:rsidR="003E10AA" w:rsidRPr="00CD2C76" w:rsidTr="001F7C5B">
        <w:trPr>
          <w:trHeight w:val="300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NOTEMAX10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0.82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0.36 / 0.46 / 0.55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0.14 / 0.44 / 0.55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AA" w:rsidRPr="00CD2C76" w:rsidRDefault="003E10AA" w:rsidP="00CD2C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CD2C76">
              <w:rPr>
                <w:rFonts w:eastAsia="Times New Roman" w:cs="Times New Roman"/>
                <w:color w:val="000000"/>
                <w:lang w:eastAsia="fr-FR"/>
              </w:rPr>
              <w:t>0.5</w:t>
            </w:r>
            <w:r w:rsidR="001F7C5B" w:rsidRPr="00CD2C76">
              <w:rPr>
                <w:rFonts w:eastAsia="Times New Roman" w:cs="Times New Roman"/>
                <w:color w:val="000000"/>
                <w:lang w:eastAsia="fr-FR"/>
              </w:rPr>
              <w:t>0</w:t>
            </w:r>
            <w:r w:rsidRPr="00CD2C76">
              <w:rPr>
                <w:rFonts w:eastAsia="Times New Roman" w:cs="Times New Roman"/>
                <w:color w:val="000000"/>
                <w:lang w:eastAsia="fr-FR"/>
              </w:rPr>
              <w:t xml:space="preserve"> / 0.74 / 1.19</w:t>
            </w:r>
          </w:p>
        </w:tc>
      </w:tr>
    </w:tbl>
    <w:p w:rsidR="0064762F" w:rsidRPr="00CD2C76" w:rsidRDefault="0064762F" w:rsidP="00CD2C76">
      <w:pPr>
        <w:jc w:val="both"/>
        <w:rPr>
          <w:lang w:val="en-US"/>
        </w:rPr>
      </w:pPr>
    </w:p>
    <w:p w:rsidR="00EB4B5B" w:rsidRPr="00CD2C76" w:rsidRDefault="00EB4B5B" w:rsidP="00CD2C76">
      <w:pPr>
        <w:jc w:val="both"/>
        <w:rPr>
          <w:lang w:val="en-US"/>
        </w:rPr>
      </w:pPr>
    </w:p>
    <w:sectPr w:rsidR="00EB4B5B" w:rsidRPr="00CD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3E90"/>
    <w:multiLevelType w:val="hybridMultilevel"/>
    <w:tmpl w:val="C4603A88"/>
    <w:lvl w:ilvl="0" w:tplc="559C99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09"/>
    <w:rsid w:val="0001201F"/>
    <w:rsid w:val="000A0A55"/>
    <w:rsid w:val="000A0AF5"/>
    <w:rsid w:val="001F0B55"/>
    <w:rsid w:val="001F7C5B"/>
    <w:rsid w:val="002143E9"/>
    <w:rsid w:val="00243C59"/>
    <w:rsid w:val="002F5F62"/>
    <w:rsid w:val="00334526"/>
    <w:rsid w:val="003701AF"/>
    <w:rsid w:val="00370531"/>
    <w:rsid w:val="0038236E"/>
    <w:rsid w:val="003B14F8"/>
    <w:rsid w:val="003E10AA"/>
    <w:rsid w:val="003E3B75"/>
    <w:rsid w:val="003E60B5"/>
    <w:rsid w:val="003F3CAD"/>
    <w:rsid w:val="00407F70"/>
    <w:rsid w:val="004451A4"/>
    <w:rsid w:val="004F21DA"/>
    <w:rsid w:val="00500828"/>
    <w:rsid w:val="00546DD5"/>
    <w:rsid w:val="0057435F"/>
    <w:rsid w:val="00575EFF"/>
    <w:rsid w:val="00587251"/>
    <w:rsid w:val="006252C8"/>
    <w:rsid w:val="00636D09"/>
    <w:rsid w:val="0064762F"/>
    <w:rsid w:val="006567BD"/>
    <w:rsid w:val="00662993"/>
    <w:rsid w:val="006777A3"/>
    <w:rsid w:val="006851F2"/>
    <w:rsid w:val="006A16B4"/>
    <w:rsid w:val="006E0072"/>
    <w:rsid w:val="00711AD2"/>
    <w:rsid w:val="007954FD"/>
    <w:rsid w:val="007B4EA8"/>
    <w:rsid w:val="007B639B"/>
    <w:rsid w:val="0081709B"/>
    <w:rsid w:val="008872F7"/>
    <w:rsid w:val="008A6995"/>
    <w:rsid w:val="00912991"/>
    <w:rsid w:val="00947116"/>
    <w:rsid w:val="00953B5F"/>
    <w:rsid w:val="0096494E"/>
    <w:rsid w:val="00981532"/>
    <w:rsid w:val="009A51D0"/>
    <w:rsid w:val="00A31C3C"/>
    <w:rsid w:val="00A773BD"/>
    <w:rsid w:val="00AA4BCD"/>
    <w:rsid w:val="00B07B24"/>
    <w:rsid w:val="00B07B54"/>
    <w:rsid w:val="00B137E2"/>
    <w:rsid w:val="00B17607"/>
    <w:rsid w:val="00B85889"/>
    <w:rsid w:val="00BB1686"/>
    <w:rsid w:val="00BD22BE"/>
    <w:rsid w:val="00BD7580"/>
    <w:rsid w:val="00BE5BF2"/>
    <w:rsid w:val="00C01078"/>
    <w:rsid w:val="00C61333"/>
    <w:rsid w:val="00CB5251"/>
    <w:rsid w:val="00CD2C76"/>
    <w:rsid w:val="00CE63F4"/>
    <w:rsid w:val="00D20FC4"/>
    <w:rsid w:val="00D63C6F"/>
    <w:rsid w:val="00D70FE3"/>
    <w:rsid w:val="00D87432"/>
    <w:rsid w:val="00DA3BE4"/>
    <w:rsid w:val="00DB0D8B"/>
    <w:rsid w:val="00DB0F83"/>
    <w:rsid w:val="00DC1C92"/>
    <w:rsid w:val="00DD5AB2"/>
    <w:rsid w:val="00E00E59"/>
    <w:rsid w:val="00E12373"/>
    <w:rsid w:val="00E26BD6"/>
    <w:rsid w:val="00E67E14"/>
    <w:rsid w:val="00EB4B5B"/>
    <w:rsid w:val="00F10C98"/>
    <w:rsid w:val="00F76B38"/>
    <w:rsid w:val="00F87F8B"/>
    <w:rsid w:val="00FC7BFE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3B7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37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C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43C59"/>
  </w:style>
  <w:style w:type="character" w:styleId="Marquedecommentaire">
    <w:name w:val="annotation reference"/>
    <w:basedOn w:val="Policepardfaut"/>
    <w:uiPriority w:val="99"/>
    <w:semiHidden/>
    <w:unhideWhenUsed/>
    <w:rsid w:val="00243C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3C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3C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3C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3C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3B7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37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C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43C59"/>
  </w:style>
  <w:style w:type="character" w:styleId="Marquedecommentaire">
    <w:name w:val="annotation reference"/>
    <w:basedOn w:val="Policepardfaut"/>
    <w:uiPriority w:val="99"/>
    <w:semiHidden/>
    <w:unhideWhenUsed/>
    <w:rsid w:val="00243C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3C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3C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3C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3C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ura@orleans.inra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1448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54</cp:revision>
  <cp:lastPrinted>2013-03-25T15:11:00Z</cp:lastPrinted>
  <dcterms:created xsi:type="dcterms:W3CDTF">2013-03-20T15:06:00Z</dcterms:created>
  <dcterms:modified xsi:type="dcterms:W3CDTF">2013-04-03T09:11:00Z</dcterms:modified>
</cp:coreProperties>
</file>