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676C" w:rsidRDefault="002E379A" w:rsidP="000354F9">
      <w:pPr>
        <w:spacing w:after="12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Insurance decision against forest fire:</w:t>
      </w:r>
    </w:p>
    <w:p w:rsidR="0045676C" w:rsidRDefault="002E379A" w:rsidP="000354F9">
      <w:pPr>
        <w:spacing w:after="12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 econometric analysis combining experimental and real data</w:t>
      </w:r>
    </w:p>
    <w:p w:rsidR="0045676C" w:rsidRDefault="002E379A" w:rsidP="000354F9">
      <w:pPr>
        <w:pStyle w:val="Titre1"/>
        <w:keepLines w:val="0"/>
        <w:spacing w:before="0" w:after="120" w:line="480" w:lineRule="auto"/>
        <w:ind w:righ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p w:rsidR="002E379A" w:rsidRDefault="002E379A" w:rsidP="000354F9">
      <w:pPr>
        <w:spacing w:after="120" w:line="48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Storm and fire are responsible for 70% of total forestry damage due to natural hazards in Europe. They are associated to high costs for forest owners. However, very heterogeneous behaviors in terms of forest insu</w:t>
      </w:r>
      <w:r w:rsidR="005758B0">
        <w:rPr>
          <w:rFonts w:ascii="Times New Roman" w:eastAsia="Times New Roman" w:hAnsi="Times New Roman" w:cs="Times New Roman"/>
          <w:sz w:val="24"/>
          <w:szCs w:val="24"/>
        </w:rPr>
        <w:t>rance demand arise across Europe. F</w:t>
      </w:r>
      <w:r>
        <w:rPr>
          <w:rFonts w:ascii="Times New Roman" w:eastAsia="Times New Roman" w:hAnsi="Times New Roman" w:cs="Times New Roman"/>
          <w:sz w:val="24"/>
          <w:szCs w:val="24"/>
        </w:rPr>
        <w:t xml:space="preserve">or example, only 6% of the French private forest </w:t>
      </w:r>
      <w:r w:rsidR="005758B0">
        <w:rPr>
          <w:rFonts w:ascii="Times New Roman" w:eastAsia="Times New Roman" w:hAnsi="Times New Roman" w:cs="Times New Roman"/>
          <w:sz w:val="24"/>
          <w:szCs w:val="24"/>
        </w:rPr>
        <w:t>area is</w:t>
      </w:r>
      <w:r>
        <w:rPr>
          <w:rFonts w:ascii="Times New Roman" w:eastAsia="Times New Roman" w:hAnsi="Times New Roman" w:cs="Times New Roman"/>
          <w:sz w:val="24"/>
          <w:szCs w:val="24"/>
        </w:rPr>
        <w:t xml:space="preserve"> insured against fire and/or storms. In this paper, we focus on the private forest owners’ insurance decision against fire risk. For that purpose, we collect hypothetical data on willingness-to-pay (WTP hereafter) for insurance through a fie</w:t>
      </w:r>
      <w:r w:rsidR="005758B0">
        <w:rPr>
          <w:rFonts w:ascii="Times New Roman" w:eastAsia="Times New Roman" w:hAnsi="Times New Roman" w:cs="Times New Roman"/>
          <w:sz w:val="24"/>
          <w:szCs w:val="24"/>
        </w:rPr>
        <w:t>ld experiment in which we test</w:t>
      </w:r>
      <w:r>
        <w:rPr>
          <w:rFonts w:ascii="Times New Roman" w:eastAsia="Times New Roman" w:hAnsi="Times New Roman" w:cs="Times New Roman"/>
          <w:sz w:val="24"/>
          <w:szCs w:val="24"/>
        </w:rPr>
        <w:t xml:space="preserve"> different scenarios of private insurance and public assistance</w:t>
      </w:r>
      <w:r w:rsidR="005758B0">
        <w:rPr>
          <w:rFonts w:ascii="Times New Roman" w:eastAsia="Times New Roman" w:hAnsi="Times New Roman" w:cs="Times New Roman"/>
          <w:sz w:val="24"/>
          <w:szCs w:val="24"/>
        </w:rPr>
        <w:t>. We also deal with</w:t>
      </w:r>
      <w:r>
        <w:rPr>
          <w:rFonts w:ascii="Times New Roman" w:eastAsia="Times New Roman" w:hAnsi="Times New Roman" w:cs="Times New Roman"/>
          <w:sz w:val="24"/>
          <w:szCs w:val="24"/>
        </w:rPr>
        <w:t xml:space="preserve"> real data </w:t>
      </w:r>
      <w:r w:rsidR="005758B0">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forest owners’ insurance</w:t>
      </w:r>
      <w:r w:rsidR="005758B0">
        <w:rPr>
          <w:rFonts w:ascii="Times New Roman" w:eastAsia="Times New Roman" w:hAnsi="Times New Roman" w:cs="Times New Roman"/>
          <w:sz w:val="24"/>
          <w:szCs w:val="24"/>
        </w:rPr>
        <w:t xml:space="preserve"> decision</w:t>
      </w:r>
      <w:r>
        <w:rPr>
          <w:rFonts w:ascii="Times New Roman" w:eastAsia="Times New Roman" w:hAnsi="Times New Roman" w:cs="Times New Roman"/>
          <w:sz w:val="24"/>
          <w:szCs w:val="24"/>
        </w:rPr>
        <w:t xml:space="preserve">, characteristics of forests and owners. </w:t>
      </w:r>
    </w:p>
    <w:p w:rsidR="0045676C" w:rsidRDefault="002E379A" w:rsidP="000354F9">
      <w:pPr>
        <w:spacing w:after="120" w:line="480" w:lineRule="auto"/>
        <w:ind w:right="567"/>
        <w:jc w:val="both"/>
      </w:pPr>
      <w:r>
        <w:rPr>
          <w:rFonts w:ascii="Times New Roman" w:eastAsia="Times New Roman" w:hAnsi="Times New Roman" w:cs="Times New Roman"/>
          <w:sz w:val="24"/>
          <w:szCs w:val="24"/>
        </w:rPr>
        <w:t>We simultaneously estimate real insurance coverage and willingness-to-pay for different insurance scenarios, using a selection equation for zero WTP values that we potentially explain by the phenomenon of protest responses against insurance in the expected utility framework. We find that real insurance provision is relevant to explain positive WTP, and we show that unobservable determinant of insurance coverage may explain protest responses. These results confirm the advantage of including observed choices in experiments on insurance demand.</w:t>
      </w:r>
    </w:p>
    <w:p w:rsidR="0045676C" w:rsidRDefault="002E379A" w:rsidP="000354F9">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insurance decision; willingness-to-pay; experimental data; protest responses; corner solution; forest fire.</w:t>
      </w:r>
    </w:p>
    <w:p w:rsidR="0045676C" w:rsidRDefault="002E379A" w:rsidP="000354F9">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JEL: </w:t>
      </w:r>
      <w:r w:rsidR="001C6E4D">
        <w:rPr>
          <w:rFonts w:ascii="Times New Roman" w:eastAsia="Times New Roman" w:hAnsi="Times New Roman" w:cs="Times New Roman"/>
          <w:sz w:val="24"/>
          <w:szCs w:val="24"/>
        </w:rPr>
        <w:t>C34 (Truncated and Censored Models</w:t>
      </w:r>
      <w:r w:rsidR="001C6E4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C93 (Fiel</w:t>
      </w:r>
      <w:r w:rsidR="001C6E4D">
        <w:rPr>
          <w:rFonts w:ascii="Times New Roman" w:eastAsia="Times New Roman" w:hAnsi="Times New Roman" w:cs="Times New Roman"/>
          <w:sz w:val="24"/>
          <w:szCs w:val="24"/>
        </w:rPr>
        <w:t>d Experiments), Q23 (Forestry)</w:t>
      </w:r>
    </w:p>
    <w:p w:rsidR="0045676C" w:rsidRDefault="002E379A" w:rsidP="000354F9">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hazards such as fire and storm regularly destroy forests worldwide. In European countries, storm and fire are responsible for 70% of total forestry damage due to natural hazards, making them the two most important natural risks in the European forest sector (</w:t>
      </w:r>
      <w:proofErr w:type="spellStart"/>
      <w:r>
        <w:rPr>
          <w:rFonts w:ascii="Times New Roman" w:eastAsia="Times New Roman" w:hAnsi="Times New Roman" w:cs="Times New Roman"/>
          <w:sz w:val="24"/>
          <w:szCs w:val="24"/>
        </w:rPr>
        <w:t>Schelhaas</w:t>
      </w:r>
      <w:proofErr w:type="spellEnd"/>
      <w:r>
        <w:rPr>
          <w:rFonts w:ascii="Times New Roman" w:eastAsia="Times New Roman" w:hAnsi="Times New Roman" w:cs="Times New Roman"/>
          <w:sz w:val="24"/>
          <w:szCs w:val="24"/>
        </w:rPr>
        <w:t xml:space="preserve"> et al. 2003). In August 2003, wildfires destroyed 10% of Portuguese forests (more than 70,000 hectares burnt in France), while in summer 2007 250,000 hectares of forest burnt in Greece. According to San-Miguel-</w:t>
      </w:r>
      <w:proofErr w:type="spellStart"/>
      <w:r>
        <w:rPr>
          <w:rFonts w:ascii="Times New Roman" w:eastAsia="Times New Roman" w:hAnsi="Times New Roman" w:cs="Times New Roman"/>
          <w:sz w:val="24"/>
          <w:szCs w:val="24"/>
        </w:rPr>
        <w:t>Ayanz</w:t>
      </w:r>
      <w:proofErr w:type="spellEnd"/>
      <w:r>
        <w:rPr>
          <w:rFonts w:ascii="Times New Roman" w:eastAsia="Times New Roman" w:hAnsi="Times New Roman" w:cs="Times New Roman"/>
          <w:sz w:val="24"/>
          <w:szCs w:val="24"/>
        </w:rPr>
        <w:t xml:space="preserve"> et al. (2017), the average economic damage of fires in EU from 1991 to 2016 is 1.8 million Euros. In 2007, Windstorm </w:t>
      </w:r>
      <w:proofErr w:type="spellStart"/>
      <w:r>
        <w:rPr>
          <w:rFonts w:ascii="Times New Roman" w:eastAsia="Times New Roman" w:hAnsi="Times New Roman" w:cs="Times New Roman"/>
          <w:sz w:val="24"/>
          <w:szCs w:val="24"/>
        </w:rPr>
        <w:t>Kyrill</w:t>
      </w:r>
      <w:proofErr w:type="spellEnd"/>
      <w:r>
        <w:rPr>
          <w:rFonts w:ascii="Times New Roman" w:eastAsia="Times New Roman" w:hAnsi="Times New Roman" w:cs="Times New Roman"/>
          <w:sz w:val="24"/>
          <w:szCs w:val="24"/>
        </w:rPr>
        <w:t xml:space="preserve"> generated more than 54 million cubic meters of timber damage in Europe, and in 2009 Windstorm Klaus damaged 42 million cubic meters in south-western France.</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climate change, these natural events should be exacerbated both in intensity and occurrence, increasing the risk associated to forest management (</w:t>
      </w:r>
      <w:proofErr w:type="spellStart"/>
      <w:r>
        <w:rPr>
          <w:rFonts w:ascii="Times New Roman" w:eastAsia="Times New Roman" w:hAnsi="Times New Roman" w:cs="Times New Roman"/>
          <w:sz w:val="24"/>
          <w:szCs w:val="24"/>
        </w:rPr>
        <w:t>Spittlehouse</w:t>
      </w:r>
      <w:proofErr w:type="spellEnd"/>
      <w:r>
        <w:rPr>
          <w:rFonts w:ascii="Times New Roman" w:eastAsia="Times New Roman" w:hAnsi="Times New Roman" w:cs="Times New Roman"/>
          <w:sz w:val="24"/>
          <w:szCs w:val="24"/>
        </w:rPr>
        <w:t xml:space="preserve"> and Stewart 2003; van Aalst 2006). Moreover, the effect of climate change on the characteristics of these natural events is largely uncertain, in particular </w:t>
      </w:r>
      <w:r w:rsidR="00E808D1">
        <w:rPr>
          <w:rFonts w:ascii="Times New Roman" w:eastAsia="Times New Roman" w:hAnsi="Times New Roman" w:cs="Times New Roman"/>
          <w:sz w:val="24"/>
          <w:szCs w:val="24"/>
        </w:rPr>
        <w:t>in terms of</w:t>
      </w:r>
      <w:r>
        <w:rPr>
          <w:rFonts w:ascii="Times New Roman" w:eastAsia="Times New Roman" w:hAnsi="Times New Roman" w:cs="Times New Roman"/>
          <w:sz w:val="24"/>
          <w:szCs w:val="24"/>
        </w:rPr>
        <w:t xml:space="preserve"> their frequency. Indeed, the occurrence of natural hazards is increasing in the last decade, while the probability of occurrence of these events is widely uncertain. For example, in Europe the number of fire has been multiplied by six between 1970 and 2000, and continues to increase (</w:t>
      </w:r>
      <w:proofErr w:type="spellStart"/>
      <w:r>
        <w:rPr>
          <w:rFonts w:ascii="Times New Roman" w:eastAsia="Times New Roman" w:hAnsi="Times New Roman" w:cs="Times New Roman"/>
          <w:sz w:val="24"/>
          <w:szCs w:val="24"/>
        </w:rPr>
        <w:t>Schelhaas</w:t>
      </w:r>
      <w:proofErr w:type="spellEnd"/>
      <w:r>
        <w:rPr>
          <w:rFonts w:ascii="Times New Roman" w:eastAsia="Times New Roman" w:hAnsi="Times New Roman" w:cs="Times New Roman"/>
          <w:sz w:val="24"/>
          <w:szCs w:val="24"/>
        </w:rPr>
        <w:t xml:space="preserve"> et al. 2003), adding uncertainty to the forest owner’s decision making process.</w:t>
      </w:r>
    </w:p>
    <w:p w:rsidR="0045676C" w:rsidRDefault="002E379A" w:rsidP="000354F9">
      <w:pPr>
        <w:spacing w:after="120" w:line="480" w:lineRule="auto"/>
        <w:jc w:val="both"/>
      </w:pPr>
      <w:r>
        <w:rPr>
          <w:rFonts w:ascii="Times New Roman" w:eastAsia="Times New Roman" w:hAnsi="Times New Roman" w:cs="Times New Roman"/>
          <w:sz w:val="24"/>
          <w:szCs w:val="24"/>
        </w:rPr>
        <w:t>In this context, various forest adaptation strategies are advocated, like the reduction of rotation length or density, the adoption of species better-adapted to future climatic conditions, sanitation thinning, etc. (</w:t>
      </w:r>
      <w:proofErr w:type="spellStart"/>
      <w:r>
        <w:rPr>
          <w:rFonts w:ascii="Times New Roman" w:eastAsia="Times New Roman" w:hAnsi="Times New Roman" w:cs="Times New Roman"/>
          <w:sz w:val="24"/>
          <w:szCs w:val="24"/>
        </w:rPr>
        <w:t>Bolte</w:t>
      </w:r>
      <w:proofErr w:type="spellEnd"/>
      <w:r>
        <w:rPr>
          <w:rFonts w:ascii="Times New Roman" w:eastAsia="Times New Roman" w:hAnsi="Times New Roman" w:cs="Times New Roman"/>
          <w:sz w:val="24"/>
          <w:szCs w:val="24"/>
        </w:rPr>
        <w:t xml:space="preserve"> et al. 2009; </w:t>
      </w:r>
      <w:proofErr w:type="spellStart"/>
      <w:r>
        <w:rPr>
          <w:rFonts w:ascii="Times New Roman" w:eastAsia="Times New Roman" w:hAnsi="Times New Roman" w:cs="Times New Roman"/>
          <w:sz w:val="24"/>
          <w:szCs w:val="24"/>
        </w:rPr>
        <w:t>Seidl</w:t>
      </w:r>
      <w:proofErr w:type="spellEnd"/>
      <w:r>
        <w:rPr>
          <w:rFonts w:ascii="Times New Roman" w:eastAsia="Times New Roman" w:hAnsi="Times New Roman" w:cs="Times New Roman"/>
          <w:sz w:val="24"/>
          <w:szCs w:val="24"/>
        </w:rPr>
        <w:t xml:space="preserve"> et al. 2011). In parallel, risk-sharing strategy like private insurance is also available to forest owners. It meets the needs to substitute insurance to the traditional provision of post-disaster financial aid, which creates disincentives to protect physical assets through prevention and mitigation measures (World Bank</w:t>
      </w:r>
      <w:r w:rsidR="00E80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2002). In addition, risk pooling </w:t>
      </w:r>
      <w:r>
        <w:rPr>
          <w:rFonts w:ascii="Times New Roman" w:eastAsia="Times New Roman" w:hAnsi="Times New Roman" w:cs="Times New Roman"/>
          <w:sz w:val="24"/>
          <w:szCs w:val="24"/>
        </w:rPr>
        <w:lastRenderedPageBreak/>
        <w:t xml:space="preserve">allows to reduce the individual’s exposure and makes the risk “manageable” (Mills 2007). This idea of using insurance as an adaptation strategy is in accordance with the recommendations to use private-sector insurance as a vehicle to finance climate resilience and adaptation (OECD 2015, Global Agenda Council on Climate Change 2014, and Article 4.8 of the United Nations Framework Convention on Climate Change (UNFCCC) and Article 3.14 of the Kyoto Protocol).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demand for forest insurance is very heterogeneous within Europe (Zhang and Stenger 2014; Brunette et al. 2015, 2016). In France approximately 800,000 hectares of private forests are insured against fire and/or storms,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6% of the French private forest area. In Spain, among the 6,224,029 hectares of insurable forest lands in 2010 only 77,103 hectares were insured against fire,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1.25% of the total surface (</w:t>
      </w:r>
      <w:proofErr w:type="spellStart"/>
      <w:r>
        <w:rPr>
          <w:rFonts w:ascii="Times New Roman" w:eastAsia="Times New Roman" w:hAnsi="Times New Roman" w:cs="Times New Roman"/>
          <w:sz w:val="24"/>
          <w:szCs w:val="24"/>
        </w:rPr>
        <w:t>Barreal</w:t>
      </w:r>
      <w:proofErr w:type="spellEnd"/>
      <w:r>
        <w:rPr>
          <w:rFonts w:ascii="Times New Roman" w:eastAsia="Times New Roman" w:hAnsi="Times New Roman" w:cs="Times New Roman"/>
          <w:sz w:val="24"/>
          <w:szCs w:val="24"/>
        </w:rPr>
        <w:t xml:space="preserve"> et al. 2014). In Sweden and Denmark, 95% and 50% respectively of the forest is covered by insurance contract, while in Finland and Norway these figures are respectively of 40% and 35% (Zhang and Stenger 2014). In addition, some countries provide public assistance to forest owners in case of natural hazards occurrence. For example, after storm Klaus, the French government provided an additional 415 million euros for an eight-year program in order to salvage and restore forest stands. After Hurricane Gudrun in 2005, the Danish government provided public assistance of 20 million euros, which covered about half of the estimated losses, in order to clear storm-felled timber and replant those areas with more storm resistant tree species; but funds were provided only for owners who had purchased a basic forest insurance policy. In Germany, some federal states paid 50% of the forest fire insurance premium. Such a premium subsidy is also afforded by the Fujian Forest Disaster Insurance program in China (Dai et al. 2015).</w:t>
      </w:r>
    </w:p>
    <w:p w:rsidR="0045676C" w:rsidRDefault="002E379A" w:rsidP="000354F9">
      <w:pPr>
        <w:spacing w:after="120" w:line="480" w:lineRule="auto"/>
        <w:jc w:val="both"/>
      </w:pPr>
      <w:r>
        <w:rPr>
          <w:rFonts w:ascii="Times New Roman" w:eastAsia="Times New Roman" w:hAnsi="Times New Roman" w:cs="Times New Roman"/>
          <w:sz w:val="24"/>
          <w:szCs w:val="24"/>
        </w:rPr>
        <w:t xml:space="preserve">In this context, it seems legitimate to be interested in forest insurance as a tool to face increasing natural hazard occurrence. In particular, it seems relevant to identify the determinants of forest </w:t>
      </w:r>
      <w:r>
        <w:rPr>
          <w:rFonts w:ascii="Times New Roman" w:eastAsia="Times New Roman" w:hAnsi="Times New Roman" w:cs="Times New Roman"/>
          <w:sz w:val="24"/>
          <w:szCs w:val="24"/>
        </w:rPr>
        <w:lastRenderedPageBreak/>
        <w:t xml:space="preserve">insurance demand in order to better understand individuals’ choices. A focus on the role of uncertainty and public assistance also seems relevant.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recent literature in forest economics aims at determining the factors influencing demand for forest insurance. There are two mains categories of studies, based on different types data used for the analysis: the studies based on real data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et al. 2014; Dai et al. 2015; Qin et al. 2016), and the ones based on hypothetical data (Brunette et al. 2013, 2016; Deng et al. 2015; </w:t>
      </w:r>
      <w:proofErr w:type="spellStart"/>
      <w:r>
        <w:rPr>
          <w:rFonts w:ascii="Times New Roman" w:eastAsia="Times New Roman" w:hAnsi="Times New Roman" w:cs="Times New Roman"/>
          <w:sz w:val="24"/>
          <w:szCs w:val="24"/>
        </w:rPr>
        <w:t>Sauter</w:t>
      </w:r>
      <w:proofErr w:type="spellEnd"/>
      <w:r>
        <w:rPr>
          <w:rFonts w:ascii="Times New Roman" w:eastAsia="Times New Roman" w:hAnsi="Times New Roman" w:cs="Times New Roman"/>
          <w:sz w:val="24"/>
          <w:szCs w:val="24"/>
        </w:rPr>
        <w:t xml:space="preserve"> et al. 2016). In many cases, due to the low share of insured forests, sufficient data do not exist to analyze the real insurance decisions. In parallel, some studies implement experiments in order to collect hypothetical data on willingness-to-pay for insurance. They found that observable determinants (such as the experience of climatic event or forest size) but also some experimental conditions (such as ambiguity or potential public help schemes) significantly affect demand for forest insurance. Consequently, it seems relevant to consider both types of data, real and hypothetical (from experiment), to capture all potential factors and links influencing the demand for forest insurance (Brunette et al. 2016).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context of climate change, uncertainty may be a relevant factor to analyze insurance decision. Few papers analyze the effect of uncertainty on insurance demand. From a theoretical point of view, Alary et al. (2013) are the first to tackle such an issue. Using the KMM model of ambiguity (see </w:t>
      </w:r>
      <w:proofErr w:type="spellStart"/>
      <w:r>
        <w:rPr>
          <w:rFonts w:ascii="Times New Roman" w:eastAsia="Times New Roman" w:hAnsi="Times New Roman" w:cs="Times New Roman"/>
          <w:sz w:val="24"/>
          <w:szCs w:val="24"/>
        </w:rPr>
        <w:t>Klibanoff</w:t>
      </w:r>
      <w:proofErr w:type="spellEnd"/>
      <w:r>
        <w:rPr>
          <w:rFonts w:ascii="Times New Roman" w:eastAsia="Times New Roman" w:hAnsi="Times New Roman" w:cs="Times New Roman"/>
          <w:sz w:val="24"/>
          <w:szCs w:val="24"/>
        </w:rPr>
        <w:t xml:space="preserve"> et al. 2005), they show that ambiguity aversion raises the optimal insurance coverage. From an experimental point of view, several papers study the impact of uncertainty on the insurance supply and insurer’s decisions (</w:t>
      </w:r>
      <w:proofErr w:type="spellStart"/>
      <w:r>
        <w:rPr>
          <w:rFonts w:ascii="Times New Roman" w:eastAsia="Times New Roman" w:hAnsi="Times New Roman" w:cs="Times New Roman"/>
          <w:sz w:val="24"/>
          <w:szCs w:val="24"/>
        </w:rPr>
        <w:t>Kunreuther</w:t>
      </w:r>
      <w:proofErr w:type="spellEnd"/>
      <w:r>
        <w:rPr>
          <w:rFonts w:ascii="Times New Roman" w:eastAsia="Times New Roman" w:hAnsi="Times New Roman" w:cs="Times New Roman"/>
          <w:sz w:val="24"/>
          <w:szCs w:val="24"/>
        </w:rPr>
        <w:t xml:space="preserve"> et al. 1995; </w:t>
      </w:r>
      <w:proofErr w:type="spellStart"/>
      <w:r>
        <w:rPr>
          <w:rFonts w:ascii="Times New Roman" w:eastAsia="Times New Roman" w:hAnsi="Times New Roman" w:cs="Times New Roman"/>
          <w:sz w:val="24"/>
          <w:szCs w:val="24"/>
        </w:rPr>
        <w:t>Cabantous</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Cabantous</w:t>
      </w:r>
      <w:proofErr w:type="spellEnd"/>
      <w:r>
        <w:rPr>
          <w:rFonts w:ascii="Times New Roman" w:eastAsia="Times New Roman" w:hAnsi="Times New Roman" w:cs="Times New Roman"/>
          <w:sz w:val="24"/>
          <w:szCs w:val="24"/>
        </w:rPr>
        <w:t xml:space="preserve"> et al. 2011), but very few are interested in the insurance demand. Brunette et al. (2013) show that ambiguity increases the individual’s WTP for insurance as compared to a risky situation.</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effect of public compensations on insurance demand is relatively well-documented in the literature both theoretically and empirically. The theory acknowledges the fact that public compensation reduces the individual’s incentives to insure (Lewis and Nickerson 1989; </w:t>
      </w:r>
      <w:proofErr w:type="spellStart"/>
      <w:r>
        <w:rPr>
          <w:rFonts w:ascii="Times New Roman" w:eastAsia="Times New Roman" w:hAnsi="Times New Roman" w:cs="Times New Roman"/>
          <w:sz w:val="24"/>
          <w:szCs w:val="24"/>
        </w:rPr>
        <w:t>Kaplow</w:t>
      </w:r>
      <w:proofErr w:type="spellEnd"/>
      <w:r>
        <w:rPr>
          <w:rFonts w:ascii="Times New Roman" w:eastAsia="Times New Roman" w:hAnsi="Times New Roman" w:cs="Times New Roman"/>
          <w:sz w:val="24"/>
          <w:szCs w:val="24"/>
        </w:rPr>
        <w:t xml:space="preserve"> 1991; </w:t>
      </w:r>
      <w:proofErr w:type="spellStart"/>
      <w:r>
        <w:rPr>
          <w:rFonts w:ascii="Times New Roman" w:eastAsia="Times New Roman" w:hAnsi="Times New Roman" w:cs="Times New Roman"/>
          <w:sz w:val="24"/>
          <w:szCs w:val="24"/>
        </w:rPr>
        <w:t>Coate</w:t>
      </w:r>
      <w:proofErr w:type="spellEnd"/>
      <w:r>
        <w:rPr>
          <w:rFonts w:ascii="Times New Roman" w:eastAsia="Times New Roman" w:hAnsi="Times New Roman" w:cs="Times New Roman"/>
          <w:sz w:val="24"/>
          <w:szCs w:val="24"/>
        </w:rPr>
        <w:t xml:space="preserve"> 1995; Kelly and </w:t>
      </w:r>
      <w:proofErr w:type="spellStart"/>
      <w:r>
        <w:rPr>
          <w:rFonts w:ascii="Times New Roman" w:eastAsia="Times New Roman" w:hAnsi="Times New Roman" w:cs="Times New Roman"/>
          <w:sz w:val="24"/>
          <w:szCs w:val="24"/>
        </w:rPr>
        <w:t>Kleffner</w:t>
      </w:r>
      <w:proofErr w:type="spellEnd"/>
      <w:r>
        <w:rPr>
          <w:rFonts w:ascii="Times New Roman" w:eastAsia="Times New Roman" w:hAnsi="Times New Roman" w:cs="Times New Roman"/>
          <w:sz w:val="24"/>
          <w:szCs w:val="24"/>
        </w:rPr>
        <w:t xml:space="preserve"> 2003; Kim and Schlesinger 2005; </w:t>
      </w:r>
      <w:proofErr w:type="spellStart"/>
      <w:r>
        <w:rPr>
          <w:rFonts w:ascii="Times New Roman" w:eastAsia="Times New Roman" w:hAnsi="Times New Roman" w:cs="Times New Roman"/>
          <w:sz w:val="24"/>
          <w:szCs w:val="24"/>
        </w:rPr>
        <w:t>Raschky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Weck-Hanneman</w:t>
      </w:r>
      <w:proofErr w:type="spellEnd"/>
      <w:r>
        <w:rPr>
          <w:rFonts w:ascii="Times New Roman" w:eastAsia="Times New Roman" w:hAnsi="Times New Roman" w:cs="Times New Roman"/>
          <w:sz w:val="24"/>
          <w:szCs w:val="24"/>
        </w:rPr>
        <w:t xml:space="preserve"> 2007; Brunette and Couture 2008). However, empirical studies are not so consensual. Indeed, some papers find that public financial help has no effect on insurance demand (Browne and Hoyt 2002), while others found the opposite result (van </w:t>
      </w:r>
      <w:proofErr w:type="spellStart"/>
      <w:r>
        <w:rPr>
          <w:rFonts w:ascii="Times New Roman" w:eastAsia="Times New Roman" w:hAnsi="Times New Roman" w:cs="Times New Roman"/>
          <w:sz w:val="24"/>
          <w:szCs w:val="24"/>
        </w:rPr>
        <w:t>Asseldonk</w:t>
      </w:r>
      <w:proofErr w:type="spellEnd"/>
      <w:r>
        <w:rPr>
          <w:rFonts w:ascii="Times New Roman" w:eastAsia="Times New Roman" w:hAnsi="Times New Roman" w:cs="Times New Roman"/>
          <w:sz w:val="24"/>
          <w:szCs w:val="24"/>
        </w:rPr>
        <w:t xml:space="preserve"> et al. 2002; Brunette et al. 2013).</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use experimental economics to analyze the determinants of forest fire insurance decision by French private forest owners. </w:t>
      </w:r>
      <w:r w:rsidR="00A9511F">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design and conduct a field experiment and use these data combined with observed real insurance decision to elicit WTP of private forest owners for forest fire insurance. Different scenarios </w:t>
      </w:r>
      <w:r w:rsidR="00A9511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built to account for different levels of uncertainty about the occurrence of fire damages and different types of public assistance on insurance decision. Four modalities of public assistance are considered: (i) no public assistance, (ii) fixed assistance consisting in obtaining a fixed monetary amount from the government in case of fire occurrence, (iii) fixed assistance contingent to private insurance, </w:t>
      </w:r>
      <w:proofErr w:type="gramStart"/>
      <w:r>
        <w:rPr>
          <w:rFonts w:ascii="Times New Roman" w:eastAsia="Times New Roman" w:hAnsi="Times New Roman" w:cs="Times New Roman"/>
          <w:sz w:val="24"/>
          <w:szCs w:val="24"/>
        </w:rPr>
        <w:t>(iv) insurance</w:t>
      </w:r>
      <w:proofErr w:type="gramEnd"/>
      <w:r>
        <w:rPr>
          <w:rFonts w:ascii="Times New Roman" w:eastAsia="Times New Roman" w:hAnsi="Times New Roman" w:cs="Times New Roman"/>
          <w:sz w:val="24"/>
          <w:szCs w:val="24"/>
        </w:rPr>
        <w:t xml:space="preserve"> subsidy. In this context, we observe a </w:t>
      </w:r>
      <w:r w:rsidR="00A9511F">
        <w:rPr>
          <w:rFonts w:ascii="Times New Roman" w:eastAsia="Times New Roman" w:hAnsi="Times New Roman" w:cs="Times New Roman"/>
          <w:sz w:val="24"/>
          <w:szCs w:val="24"/>
        </w:rPr>
        <w:t xml:space="preserve">possible </w:t>
      </w:r>
      <w:r>
        <w:rPr>
          <w:rFonts w:ascii="Times New Roman" w:eastAsia="Times New Roman" w:hAnsi="Times New Roman" w:cs="Times New Roman"/>
          <w:sz w:val="24"/>
          <w:szCs w:val="24"/>
        </w:rPr>
        <w:t xml:space="preserve">phenomenon of protest responses against insurance,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leading to zero WTP values, considering the expected utility framework. The original primary dataset is analyzed through an econometric approach in which both insurance decisions, real and hypothetical, are estimated jointly along with a selection process explaining the zero values in stated WTP. </w:t>
      </w:r>
    </w:p>
    <w:p w:rsidR="0045676C" w:rsidRDefault="002E379A" w:rsidP="000354F9">
      <w:pPr>
        <w:spacing w:after="120" w:line="480" w:lineRule="auto"/>
        <w:jc w:val="both"/>
      </w:pPr>
      <w:r>
        <w:rPr>
          <w:rFonts w:ascii="Times New Roman" w:eastAsia="Times New Roman" w:hAnsi="Times New Roman" w:cs="Times New Roman"/>
          <w:sz w:val="24"/>
          <w:szCs w:val="24"/>
        </w:rPr>
        <w:t>Our results indicate that the real insurance decision is impacted significantly and positively by income, and when the forest property has already been destroyed by fire in the past. Concerning the hypothetical insurance choice, we show that expected loss of forestry revenue and uncertainty o</w:t>
      </w:r>
      <w:r w:rsidR="00A9511F">
        <w:rPr>
          <w:rFonts w:ascii="Times New Roman" w:eastAsia="Times New Roman" w:hAnsi="Times New Roman" w:cs="Times New Roman"/>
          <w:sz w:val="24"/>
          <w:szCs w:val="24"/>
        </w:rPr>
        <w:t>n the occurrence of forest fire</w:t>
      </w:r>
      <w:r>
        <w:rPr>
          <w:rFonts w:ascii="Times New Roman" w:eastAsia="Times New Roman" w:hAnsi="Times New Roman" w:cs="Times New Roman"/>
          <w:sz w:val="24"/>
          <w:szCs w:val="24"/>
        </w:rPr>
        <w:t xml:space="preserve"> </w:t>
      </w:r>
      <w:r w:rsidR="00A9511F">
        <w:rPr>
          <w:rFonts w:ascii="Times New Roman" w:eastAsia="Times New Roman" w:hAnsi="Times New Roman" w:cs="Times New Roman"/>
          <w:sz w:val="24"/>
          <w:szCs w:val="24"/>
        </w:rPr>
        <w:t>both increase</w:t>
      </w:r>
      <w:r>
        <w:rPr>
          <w:rFonts w:ascii="Times New Roman" w:eastAsia="Times New Roman" w:hAnsi="Times New Roman" w:cs="Times New Roman"/>
          <w:sz w:val="24"/>
          <w:szCs w:val="24"/>
        </w:rPr>
        <w:t xml:space="preserve"> the WTP for full insurance. Moreover, we find that the type of public compensation can produce a protest reaction: forest owners indicate that they prefer </w:t>
      </w:r>
      <w:r>
        <w:rPr>
          <w:rFonts w:ascii="Times New Roman" w:eastAsia="Times New Roman" w:hAnsi="Times New Roman" w:cs="Times New Roman"/>
          <w:sz w:val="24"/>
          <w:szCs w:val="24"/>
        </w:rPr>
        <w:lastRenderedPageBreak/>
        <w:t xml:space="preserve">no public assistance at all rather than fixed assistance. Finally, we show that insurance in the real life implies positive WTP in the experiment, and that unobservable </w:t>
      </w:r>
      <w:r w:rsidR="00A9511F">
        <w:rPr>
          <w:rFonts w:ascii="Times New Roman" w:eastAsia="Times New Roman" w:hAnsi="Times New Roman" w:cs="Times New Roman"/>
          <w:sz w:val="24"/>
          <w:szCs w:val="24"/>
        </w:rPr>
        <w:t>determinants of</w:t>
      </w:r>
      <w:r>
        <w:rPr>
          <w:rFonts w:ascii="Times New Roman" w:eastAsia="Times New Roman" w:hAnsi="Times New Roman" w:cs="Times New Roman"/>
          <w:sz w:val="24"/>
          <w:szCs w:val="24"/>
        </w:rPr>
        <w:t xml:space="preserve"> </w:t>
      </w:r>
      <w:r w:rsidR="00A9511F">
        <w:rPr>
          <w:rFonts w:ascii="Times New Roman" w:eastAsia="Times New Roman" w:hAnsi="Times New Roman" w:cs="Times New Roman"/>
          <w:sz w:val="24"/>
          <w:szCs w:val="24"/>
        </w:rPr>
        <w:t xml:space="preserve">real </w:t>
      </w:r>
      <w:r>
        <w:rPr>
          <w:rFonts w:ascii="Times New Roman" w:eastAsia="Times New Roman" w:hAnsi="Times New Roman" w:cs="Times New Roman"/>
          <w:sz w:val="24"/>
          <w:szCs w:val="24"/>
        </w:rPr>
        <w:t>insurance</w:t>
      </w:r>
      <w:r w:rsidR="00A9511F">
        <w:rPr>
          <w:rFonts w:ascii="Times New Roman" w:eastAsia="Times New Roman" w:hAnsi="Times New Roman" w:cs="Times New Roman"/>
          <w:sz w:val="24"/>
          <w:szCs w:val="24"/>
        </w:rPr>
        <w:t xml:space="preserve"> decision may</w:t>
      </w:r>
      <w:r>
        <w:rPr>
          <w:rFonts w:ascii="Times New Roman" w:eastAsia="Times New Roman" w:hAnsi="Times New Roman" w:cs="Times New Roman"/>
          <w:sz w:val="24"/>
          <w:szCs w:val="24"/>
        </w:rPr>
        <w:t xml:space="preserve"> also explain protest responses.</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rest of the paper is structured as follows. Section 1 presents the methodology of the paper and the models to be tested are gathered in Section 2. Section 3 displays the results and Section 4 proposes a discussion and concludes. </w:t>
      </w:r>
    </w:p>
    <w:p w:rsidR="0045676C" w:rsidRDefault="002E379A" w:rsidP="000354F9">
      <w:pPr>
        <w:pStyle w:val="Titre1"/>
        <w:numPr>
          <w:ilvl w:val="0"/>
          <w:numId w:val="1"/>
        </w:numPr>
        <w:spacing w:before="0" w:after="120" w:line="48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 and data</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combine two sources of information, real and hypothetical data. Both types of data are collected during a field experiment conducted on a sample of 42 private forest owners located in th</w:t>
      </w:r>
      <w:r w:rsidR="00A9511F">
        <w:rPr>
          <w:rFonts w:ascii="Times New Roman" w:eastAsia="Times New Roman" w:hAnsi="Times New Roman" w:cs="Times New Roman"/>
          <w:sz w:val="24"/>
          <w:szCs w:val="24"/>
        </w:rPr>
        <w:t>e region of Aquitaine in France</w:t>
      </w:r>
      <w:r>
        <w:rPr>
          <w:rFonts w:ascii="Times New Roman" w:eastAsia="Times New Roman" w:hAnsi="Times New Roman" w:cs="Times New Roman"/>
          <w:sz w:val="24"/>
          <w:szCs w:val="24"/>
        </w:rPr>
        <w:t xml:space="preserve"> </w:t>
      </w:r>
      <w:r w:rsidR="00A9511F">
        <w:rPr>
          <w:rFonts w:ascii="Times New Roman" w:eastAsia="Times New Roman" w:hAnsi="Times New Roman" w:cs="Times New Roman"/>
          <w:sz w:val="24"/>
          <w:szCs w:val="24"/>
        </w:rPr>
        <w:t>(</w:t>
      </w:r>
      <w:r>
        <w:rPr>
          <w:rFonts w:ascii="Times New Roman" w:eastAsia="Times New Roman" w:hAnsi="Times New Roman" w:cs="Times New Roman"/>
          <w:sz w:val="24"/>
          <w:szCs w:val="24"/>
        </w:rPr>
        <w:t>see Brunette et al. (2016) for an extensive description</w:t>
      </w:r>
      <w:r w:rsidR="00A951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field experiment the variable of interest is the WTP for forest fire insurance in different contexts, which are designed to test the effect of the uncertainty and the different types of public assistance on insurance decision. In the real dataset we observe individual’s characteristics (e.g., age, gender), forest property (e.g., size, mode of acquisition), past hazard occurrence and real choice in terms of insurance decision. These real data were obtained from a survey realized when the experiment was completed. The final sample </w:t>
      </w:r>
      <w:r w:rsidR="007E013E">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40 respondents</w:t>
      </w:r>
      <w:r w:rsidR="00A22FE8">
        <w:rPr>
          <w:rFonts w:ascii="Times New Roman" w:eastAsia="Times New Roman" w:hAnsi="Times New Roman" w:cs="Times New Roman"/>
          <w:sz w:val="24"/>
          <w:szCs w:val="24"/>
        </w:rPr>
        <w:t>, who provide</w:t>
      </w:r>
      <w:r w:rsidR="00D5448A">
        <w:rPr>
          <w:rFonts w:ascii="Times New Roman" w:eastAsia="Times New Roman" w:hAnsi="Times New Roman" w:cs="Times New Roman"/>
          <w:sz w:val="24"/>
          <w:szCs w:val="24"/>
        </w:rPr>
        <w:t xml:space="preserve"> </w:t>
      </w:r>
      <w:r w:rsidR="00A22FE8" w:rsidRPr="00A22FE8">
        <w:rPr>
          <w:rFonts w:ascii="Times New Roman" w:eastAsia="Times New Roman" w:hAnsi="Times New Roman" w:cs="Times New Roman"/>
          <w:sz w:val="24"/>
          <w:szCs w:val="24"/>
        </w:rPr>
        <w:t>as many observations as scenarios in the experiment</w:t>
      </w:r>
      <w:r>
        <w:rPr>
          <w:rFonts w:ascii="Times New Roman" w:eastAsia="Times New Roman" w:hAnsi="Times New Roman" w:cs="Times New Roman"/>
          <w:sz w:val="24"/>
          <w:szCs w:val="24"/>
        </w:rPr>
        <w:t xml:space="preserve">.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experiment was developed with the assistance of the Aquitaine Regional Forest owners’ Center (CRPF). Aquitaine is the major French regions in terms of timber production, with an average forest property of 12 hectares. The afforestation rate of Aquitaine is of 44% and it is the most important among the French regions. In parallel, Aquitaine is also among the regions where the fire risk is the higher (Commissariat </w:t>
      </w:r>
      <w:proofErr w:type="spellStart"/>
      <w:r>
        <w:rPr>
          <w:rFonts w:ascii="Times New Roman" w:eastAsia="Times New Roman" w:hAnsi="Times New Roman" w:cs="Times New Roman"/>
          <w:sz w:val="24"/>
          <w:szCs w:val="24"/>
        </w:rPr>
        <w:t>Général</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Développement</w:t>
      </w:r>
      <w:proofErr w:type="spellEnd"/>
      <w:r>
        <w:rPr>
          <w:rFonts w:ascii="Times New Roman" w:eastAsia="Times New Roman" w:hAnsi="Times New Roman" w:cs="Times New Roman"/>
          <w:sz w:val="24"/>
          <w:szCs w:val="24"/>
        </w:rPr>
        <w:t xml:space="preserve"> Durable 2011). </w:t>
      </w:r>
      <w:r w:rsidR="007E013E">
        <w:rPr>
          <w:rFonts w:ascii="Times New Roman" w:eastAsia="Times New Roman" w:hAnsi="Times New Roman" w:cs="Times New Roman"/>
          <w:sz w:val="24"/>
          <w:szCs w:val="24"/>
        </w:rPr>
        <w:t>Among tree species, t</w:t>
      </w:r>
      <w:r>
        <w:rPr>
          <w:rFonts w:ascii="Times New Roman" w:eastAsia="Times New Roman" w:hAnsi="Times New Roman" w:cs="Times New Roman"/>
          <w:sz w:val="24"/>
          <w:szCs w:val="24"/>
        </w:rPr>
        <w:t xml:space="preserve">he most common </w:t>
      </w:r>
      <w:r w:rsidR="007E013E">
        <w:rPr>
          <w:rFonts w:ascii="Times New Roman" w:eastAsia="Times New Roman" w:hAnsi="Times New Roman" w:cs="Times New Roman"/>
          <w:sz w:val="24"/>
          <w:szCs w:val="24"/>
        </w:rPr>
        <w:t xml:space="preserve">in Aquitaine </w:t>
      </w:r>
      <w:r>
        <w:rPr>
          <w:rFonts w:ascii="Times New Roman" w:eastAsia="Times New Roman" w:hAnsi="Times New Roman" w:cs="Times New Roman"/>
          <w:sz w:val="24"/>
          <w:szCs w:val="24"/>
        </w:rPr>
        <w:t xml:space="preserve">is </w:t>
      </w:r>
      <w:r w:rsidR="007E01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maritime pine.</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Therefore, for the purpose of the experiment, participants </w:t>
      </w:r>
      <w:r w:rsidR="007E013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given a hypothetic</w:t>
      </w:r>
      <w:r w:rsidR="007E013E">
        <w:rPr>
          <w:rFonts w:ascii="Times New Roman" w:eastAsia="Times New Roman" w:hAnsi="Times New Roman" w:cs="Times New Roman"/>
          <w:sz w:val="24"/>
          <w:szCs w:val="24"/>
        </w:rPr>
        <w:t>al framework in which they own</w:t>
      </w:r>
      <w:r>
        <w:rPr>
          <w:rFonts w:ascii="Times New Roman" w:eastAsia="Times New Roman" w:hAnsi="Times New Roman" w:cs="Times New Roman"/>
          <w:sz w:val="24"/>
          <w:szCs w:val="24"/>
        </w:rPr>
        <w:t xml:space="preserve"> an average property of maritime pines in Aquitaine that is exposed to a fi</w:t>
      </w:r>
      <w:r w:rsidR="007E013E">
        <w:rPr>
          <w:rFonts w:ascii="Times New Roman" w:eastAsia="Times New Roman" w:hAnsi="Times New Roman" w:cs="Times New Roman"/>
          <w:sz w:val="24"/>
          <w:szCs w:val="24"/>
        </w:rPr>
        <w:t>re risk. Each participant plays</w:t>
      </w:r>
      <w:r>
        <w:rPr>
          <w:rFonts w:ascii="Times New Roman" w:eastAsia="Times New Roman" w:hAnsi="Times New Roman" w:cs="Times New Roman"/>
          <w:sz w:val="24"/>
          <w:szCs w:val="24"/>
        </w:rPr>
        <w:t xml:space="preserve"> different s</w:t>
      </w:r>
      <w:r w:rsidR="007E013E">
        <w:rPr>
          <w:rFonts w:ascii="Times New Roman" w:eastAsia="Times New Roman" w:hAnsi="Times New Roman" w:cs="Times New Roman"/>
          <w:sz w:val="24"/>
          <w:szCs w:val="24"/>
        </w:rPr>
        <w:t>cenarios. Each scenario includes</w:t>
      </w:r>
      <w:r>
        <w:rPr>
          <w:rFonts w:ascii="Times New Roman" w:eastAsia="Times New Roman" w:hAnsi="Times New Roman" w:cs="Times New Roman"/>
          <w:sz w:val="24"/>
          <w:szCs w:val="24"/>
        </w:rPr>
        <w:t xml:space="preserve"> three types of information: (i) the type of public assistance; (ii) the probabilistic information about the fire risk; and (iii) the average annual revenue that the forest generates.</w:t>
      </w:r>
    </w:p>
    <w:p w:rsidR="0045676C" w:rsidRDefault="007E013E"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w:t>
      </w:r>
      <w:r w:rsidR="002E379A">
        <w:rPr>
          <w:rFonts w:ascii="Times New Roman" w:eastAsia="Times New Roman" w:hAnsi="Times New Roman" w:cs="Times New Roman"/>
          <w:sz w:val="24"/>
          <w:szCs w:val="24"/>
        </w:rPr>
        <w:t xml:space="preserve"> the type of public assistance, four modalities are considered: </w:t>
      </w:r>
    </w:p>
    <w:p w:rsidR="0045676C" w:rsidRDefault="002E379A" w:rsidP="000354F9">
      <w:pPr>
        <w:numPr>
          <w:ilvl w:val="0"/>
          <w:numId w:val="2"/>
        </w:numPr>
        <w:spacing w:after="120" w:line="480" w:lineRule="auto"/>
        <w:ind w:hanging="36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 assistance (NA): in case of fire occurrence, the government does not provide any financial assistance.</w:t>
      </w:r>
      <w:proofErr w:type="gramEnd"/>
      <w:r>
        <w:rPr>
          <w:rFonts w:ascii="Times New Roman" w:eastAsia="Times New Roman" w:hAnsi="Times New Roman" w:cs="Times New Roman"/>
          <w:sz w:val="24"/>
          <w:szCs w:val="24"/>
        </w:rPr>
        <w:t xml:space="preserve"> </w:t>
      </w:r>
    </w:p>
    <w:p w:rsidR="0045676C" w:rsidRDefault="002E379A" w:rsidP="000354F9">
      <w:pPr>
        <w:numPr>
          <w:ilvl w:val="0"/>
          <w:numId w:val="2"/>
        </w:numPr>
        <w:spacing w:after="120"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Fixed assistance (FA): In case of fire occurrence, the government provides a fixed public assistance of €1,500.</w:t>
      </w:r>
    </w:p>
    <w:p w:rsidR="0045676C" w:rsidRDefault="002E379A" w:rsidP="000354F9">
      <w:pPr>
        <w:numPr>
          <w:ilvl w:val="0"/>
          <w:numId w:val="2"/>
        </w:numPr>
        <w:spacing w:after="120"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Contingent fixed assistance (CFA): In case of a fire occurrence, the government provides a fixed public assistance of €1,500 to the insured forest owners.</w:t>
      </w:r>
    </w:p>
    <w:p w:rsidR="0045676C" w:rsidRDefault="002E379A" w:rsidP="000354F9">
      <w:pPr>
        <w:numPr>
          <w:ilvl w:val="0"/>
          <w:numId w:val="2"/>
        </w:numPr>
        <w:spacing w:after="120"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subsidy (IS): The government subsidizes 50% of the fire insurance premium.</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a representative forest owner whose preferences are characterized by a von Neumann Morgenstern utility function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these four modalities may be written in terms of individual’s expected utility as follows:</w:t>
      </w:r>
    </w:p>
    <w:tbl>
      <w:tblPr>
        <w:tblStyle w:val="Grilledutableau"/>
        <w:tblW w:w="9632" w:type="dxa"/>
        <w:tblInd w:w="-108" w:type="dxa"/>
        <w:tblCellMar>
          <w:left w:w="0" w:type="dxa"/>
          <w:right w:w="0" w:type="dxa"/>
        </w:tblCellMar>
        <w:tblLook w:val="04A0" w:firstRow="1" w:lastRow="0" w:firstColumn="1" w:lastColumn="0" w:noHBand="0" w:noVBand="1"/>
      </w:tblPr>
      <w:tblGrid>
        <w:gridCol w:w="869"/>
        <w:gridCol w:w="8266"/>
        <w:gridCol w:w="497"/>
      </w:tblGrid>
      <w:tr w:rsidR="0045676C">
        <w:tc>
          <w:tcPr>
            <w:tcW w:w="869" w:type="dxa"/>
            <w:tcBorders>
              <w:top w:val="nil"/>
              <w:left w:val="nil"/>
              <w:bottom w:val="nil"/>
              <w:right w:val="nil"/>
            </w:tcBorders>
            <w:shd w:val="clear" w:color="auto" w:fill="auto"/>
          </w:tcPr>
          <w:p w:rsidR="0045676C" w:rsidRDefault="002E379A" w:rsidP="000354F9">
            <w:pPr>
              <w:spacing w:after="120" w:line="480" w:lineRule="auto"/>
              <w:jc w:val="both"/>
              <w:rPr>
                <w:rFonts w:ascii="Times New Roman" w:hAnsi="Times New Roman" w:cs="Times New Roman"/>
                <w:sz w:val="24"/>
                <w:szCs w:val="24"/>
                <w:lang w:val="en-GB"/>
              </w:rPr>
            </w:pPr>
            <w:r>
              <w:rPr>
                <w:rFonts w:ascii="Times New Roman" w:hAnsi="Times New Roman" w:cs="Times New Roman"/>
                <w:color w:val="00000A"/>
                <w:sz w:val="24"/>
                <w:szCs w:val="24"/>
                <w:lang w:val="en-GB"/>
              </w:rPr>
              <w:t>NA:</w:t>
            </w:r>
          </w:p>
        </w:tc>
        <w:tc>
          <w:tcPr>
            <w:tcW w:w="8266" w:type="dxa"/>
            <w:tcBorders>
              <w:top w:val="nil"/>
              <w:left w:val="nil"/>
              <w:bottom w:val="nil"/>
              <w:right w:val="nil"/>
            </w:tcBorders>
            <w:shd w:val="clear" w:color="auto" w:fill="auto"/>
          </w:tcPr>
          <w:p w:rsidR="0045676C" w:rsidRPr="00671834" w:rsidRDefault="002E379A" w:rsidP="000354F9">
            <w:pPr>
              <w:spacing w:after="120" w:line="480" w:lineRule="auto"/>
              <w:rPr>
                <w:rFonts w:ascii="Times New Roman" w:hAnsi="Times New Roman" w:cs="Times New Roman"/>
                <w:sz w:val="24"/>
                <w:szCs w:val="24"/>
                <w:lang w:val="en-GB"/>
              </w:rPr>
            </w:pPr>
            <m:oMathPara>
              <m:oMathParaPr>
                <m:jc m:val="left"/>
              </m:oMathParaPr>
              <m:oMath>
                <m:r>
                  <w:rPr>
                    <w:rFonts w:ascii="Cambria Math" w:hAnsi="Cambria Math"/>
                  </w:rPr>
                  <m:t>u</m:t>
                </m:r>
                <m:d>
                  <m:dPr>
                    <m:ctrlPr>
                      <w:rPr>
                        <w:rFonts w:ascii="Cambria Math" w:hAnsi="Cambria Math"/>
                      </w:rPr>
                    </m:ctrlPr>
                  </m:dPr>
                  <m:e>
                    <m:r>
                      <w:rPr>
                        <w:rFonts w:ascii="Cambria Math" w:hAnsi="Cambria Math"/>
                      </w:rPr>
                      <m:t>R-WTP</m:t>
                    </m:r>
                  </m:e>
                </m:d>
                <m:r>
                  <w:rPr>
                    <w:rFonts w:ascii="Cambria Math" w:hAnsi="Cambria Math"/>
                  </w:rPr>
                  <m:t>=pu</m:t>
                </m:r>
                <m:d>
                  <m:dPr>
                    <m:ctrlPr>
                      <w:rPr>
                        <w:rFonts w:ascii="Cambria Math" w:hAnsi="Cambria Math"/>
                      </w:rPr>
                    </m:ctrlPr>
                  </m:dPr>
                  <m:e>
                    <m:r>
                      <w:rPr>
                        <w:rFonts w:ascii="Cambria Math" w:hAnsi="Cambria Math"/>
                      </w:rPr>
                      <m:t>R-D</m:t>
                    </m:r>
                  </m:e>
                </m:d>
                <m:r>
                  <w:rPr>
                    <w:rFonts w:ascii="Cambria Math" w:hAnsi="Cambria Math"/>
                  </w:rPr>
                  <m:t>+</m:t>
                </m:r>
                <m:d>
                  <m:dPr>
                    <m:ctrlPr>
                      <w:rPr>
                        <w:rFonts w:ascii="Cambria Math" w:hAnsi="Cambria Math"/>
                      </w:rPr>
                    </m:ctrlPr>
                  </m:dPr>
                  <m:e>
                    <m:r>
                      <w:rPr>
                        <w:rFonts w:ascii="Cambria Math" w:hAnsi="Cambria Math"/>
                      </w:rPr>
                      <m:t>1-p</m:t>
                    </m:r>
                  </m:e>
                </m:d>
                <m:r>
                  <w:rPr>
                    <w:rFonts w:ascii="Cambria Math" w:hAnsi="Cambria Math"/>
                  </w:rPr>
                  <m:t>u</m:t>
                </m:r>
                <m:d>
                  <m:dPr>
                    <m:ctrlPr>
                      <w:rPr>
                        <w:rFonts w:ascii="Cambria Math" w:hAnsi="Cambria Math"/>
                      </w:rPr>
                    </m:ctrlPr>
                  </m:dPr>
                  <m:e>
                    <m:r>
                      <w:rPr>
                        <w:rFonts w:ascii="Cambria Math" w:hAnsi="Cambria Math"/>
                      </w:rPr>
                      <m:t>R</m:t>
                    </m:r>
                  </m:e>
                </m:d>
              </m:oMath>
            </m:oMathPara>
          </w:p>
        </w:tc>
        <w:tc>
          <w:tcPr>
            <w:tcW w:w="497" w:type="dxa"/>
            <w:tcBorders>
              <w:top w:val="nil"/>
              <w:left w:val="nil"/>
              <w:bottom w:val="nil"/>
              <w:right w:val="nil"/>
            </w:tcBorders>
            <w:shd w:val="clear" w:color="auto" w:fill="auto"/>
          </w:tcPr>
          <w:p w:rsidR="0045676C" w:rsidRDefault="002E379A" w:rsidP="000354F9">
            <w:pPr>
              <w:spacing w:after="120" w:line="480" w:lineRule="auto"/>
              <w:jc w:val="both"/>
              <w:rPr>
                <w:rFonts w:ascii="Times New Roman" w:hAnsi="Times New Roman" w:cs="Times New Roman"/>
                <w:sz w:val="24"/>
                <w:szCs w:val="24"/>
                <w:lang w:val="en-GB"/>
              </w:rPr>
            </w:pPr>
            <w:r>
              <w:rPr>
                <w:rFonts w:ascii="Times New Roman" w:hAnsi="Times New Roman" w:cs="Times New Roman"/>
                <w:color w:val="00000A"/>
                <w:sz w:val="24"/>
                <w:szCs w:val="24"/>
                <w:lang w:val="en-GB"/>
              </w:rPr>
              <w:t>(1)</w:t>
            </w:r>
          </w:p>
        </w:tc>
      </w:tr>
      <w:tr w:rsidR="0045676C">
        <w:tc>
          <w:tcPr>
            <w:tcW w:w="869" w:type="dxa"/>
            <w:tcBorders>
              <w:top w:val="nil"/>
              <w:left w:val="nil"/>
              <w:bottom w:val="nil"/>
              <w:right w:val="nil"/>
            </w:tcBorders>
            <w:shd w:val="clear" w:color="auto" w:fill="auto"/>
          </w:tcPr>
          <w:p w:rsidR="0045676C" w:rsidRDefault="002E379A" w:rsidP="000354F9">
            <w:pPr>
              <w:spacing w:after="120" w:line="480" w:lineRule="auto"/>
              <w:jc w:val="both"/>
              <w:rPr>
                <w:rFonts w:ascii="Times New Roman" w:hAnsi="Times New Roman" w:cs="Times New Roman"/>
                <w:sz w:val="24"/>
                <w:szCs w:val="24"/>
                <w:lang w:val="en-GB"/>
              </w:rPr>
            </w:pPr>
            <w:r>
              <w:rPr>
                <w:rFonts w:ascii="Times New Roman" w:hAnsi="Times New Roman" w:cs="Times New Roman"/>
                <w:color w:val="00000A"/>
                <w:sz w:val="24"/>
                <w:szCs w:val="24"/>
                <w:lang w:val="en-GB"/>
              </w:rPr>
              <w:t>FA:</w:t>
            </w:r>
          </w:p>
        </w:tc>
        <w:tc>
          <w:tcPr>
            <w:tcW w:w="8266" w:type="dxa"/>
            <w:tcBorders>
              <w:top w:val="nil"/>
              <w:left w:val="nil"/>
              <w:bottom w:val="nil"/>
              <w:right w:val="nil"/>
            </w:tcBorders>
            <w:shd w:val="clear" w:color="auto" w:fill="auto"/>
          </w:tcPr>
          <w:p w:rsidR="0045676C" w:rsidRPr="00671834" w:rsidRDefault="002E379A" w:rsidP="000354F9">
            <w:pPr>
              <w:spacing w:after="120" w:line="480" w:lineRule="auto"/>
              <w:rPr>
                <w:rFonts w:ascii="Times New Roman" w:hAnsi="Times New Roman" w:cs="Times New Roman"/>
                <w:sz w:val="24"/>
                <w:szCs w:val="24"/>
                <w:lang w:val="en-GB"/>
              </w:rPr>
            </w:pPr>
            <m:oMathPara>
              <m:oMathParaPr>
                <m:jc m:val="left"/>
              </m:oMathParaPr>
              <m:oMath>
                <m:r>
                  <w:rPr>
                    <w:rFonts w:ascii="Cambria Math" w:hAnsi="Cambria Math"/>
                  </w:rPr>
                  <m:t>pu</m:t>
                </m:r>
                <m:d>
                  <m:dPr>
                    <m:ctrlPr>
                      <w:rPr>
                        <w:rFonts w:ascii="Cambria Math" w:hAnsi="Cambria Math"/>
                      </w:rPr>
                    </m:ctrlPr>
                  </m:dPr>
                  <m:e>
                    <m:r>
                      <w:rPr>
                        <w:rFonts w:ascii="Cambria Math" w:hAnsi="Cambria Math"/>
                      </w:rPr>
                      <m:t>R-WTP+FA</m:t>
                    </m:r>
                  </m:e>
                </m:d>
                <m:r>
                  <w:rPr>
                    <w:rFonts w:ascii="Cambria Math" w:hAnsi="Cambria Math"/>
                  </w:rPr>
                  <m:t>+</m:t>
                </m:r>
                <m:d>
                  <m:dPr>
                    <m:ctrlPr>
                      <w:rPr>
                        <w:rFonts w:ascii="Cambria Math" w:hAnsi="Cambria Math"/>
                      </w:rPr>
                    </m:ctrlPr>
                  </m:dPr>
                  <m:e>
                    <m:r>
                      <w:rPr>
                        <w:rFonts w:ascii="Cambria Math" w:hAnsi="Cambria Math"/>
                      </w:rPr>
                      <m:t>1-p</m:t>
                    </m:r>
                  </m:e>
                </m:d>
                <m:r>
                  <w:rPr>
                    <w:rFonts w:ascii="Cambria Math" w:hAnsi="Cambria Math"/>
                  </w:rPr>
                  <m:t>u</m:t>
                </m:r>
                <m:d>
                  <m:dPr>
                    <m:ctrlPr>
                      <w:rPr>
                        <w:rFonts w:ascii="Cambria Math" w:hAnsi="Cambria Math"/>
                      </w:rPr>
                    </m:ctrlPr>
                  </m:dPr>
                  <m:e>
                    <m:r>
                      <w:rPr>
                        <w:rFonts w:ascii="Cambria Math" w:hAnsi="Cambria Math"/>
                      </w:rPr>
                      <m:t>R-WTP</m:t>
                    </m:r>
                  </m:e>
                </m:d>
                <m:r>
                  <w:rPr>
                    <w:rFonts w:ascii="Cambria Math" w:hAnsi="Cambria Math"/>
                  </w:rPr>
                  <m:t>=pu</m:t>
                </m:r>
                <m:d>
                  <m:dPr>
                    <m:ctrlPr>
                      <w:rPr>
                        <w:rFonts w:ascii="Cambria Math" w:hAnsi="Cambria Math"/>
                      </w:rPr>
                    </m:ctrlPr>
                  </m:dPr>
                  <m:e>
                    <m:r>
                      <w:rPr>
                        <w:rFonts w:ascii="Cambria Math" w:hAnsi="Cambria Math"/>
                      </w:rPr>
                      <m:t>R-D+FA</m:t>
                    </m:r>
                  </m:e>
                </m:d>
                <m:r>
                  <w:rPr>
                    <w:rFonts w:ascii="Cambria Math" w:hAnsi="Cambria Math"/>
                  </w:rPr>
                  <m:t>+</m:t>
                </m:r>
                <m:d>
                  <m:dPr>
                    <m:ctrlPr>
                      <w:rPr>
                        <w:rFonts w:ascii="Cambria Math" w:hAnsi="Cambria Math"/>
                      </w:rPr>
                    </m:ctrlPr>
                  </m:dPr>
                  <m:e>
                    <m:r>
                      <w:rPr>
                        <w:rFonts w:ascii="Cambria Math" w:hAnsi="Cambria Math"/>
                      </w:rPr>
                      <m:t>1-p</m:t>
                    </m:r>
                  </m:e>
                </m:d>
                <m:r>
                  <w:rPr>
                    <w:rFonts w:ascii="Cambria Math" w:hAnsi="Cambria Math"/>
                  </w:rPr>
                  <m:t>u</m:t>
                </m:r>
                <m:d>
                  <m:dPr>
                    <m:ctrlPr>
                      <w:rPr>
                        <w:rFonts w:ascii="Cambria Math" w:hAnsi="Cambria Math"/>
                      </w:rPr>
                    </m:ctrlPr>
                  </m:dPr>
                  <m:e>
                    <m:r>
                      <w:rPr>
                        <w:rFonts w:ascii="Cambria Math" w:hAnsi="Cambria Math"/>
                      </w:rPr>
                      <m:t>R</m:t>
                    </m:r>
                  </m:e>
                </m:d>
              </m:oMath>
            </m:oMathPara>
          </w:p>
        </w:tc>
        <w:tc>
          <w:tcPr>
            <w:tcW w:w="497" w:type="dxa"/>
            <w:tcBorders>
              <w:top w:val="nil"/>
              <w:left w:val="nil"/>
              <w:bottom w:val="nil"/>
              <w:right w:val="nil"/>
            </w:tcBorders>
            <w:shd w:val="clear" w:color="auto" w:fill="auto"/>
          </w:tcPr>
          <w:p w:rsidR="0045676C" w:rsidRDefault="002E379A" w:rsidP="000354F9">
            <w:pPr>
              <w:spacing w:after="120" w:line="480" w:lineRule="auto"/>
              <w:jc w:val="both"/>
              <w:rPr>
                <w:rFonts w:ascii="Times New Roman" w:hAnsi="Times New Roman" w:cs="Times New Roman"/>
                <w:sz w:val="24"/>
                <w:szCs w:val="24"/>
                <w:lang w:val="en-GB"/>
              </w:rPr>
            </w:pPr>
            <w:r>
              <w:rPr>
                <w:rFonts w:ascii="Times New Roman" w:hAnsi="Times New Roman" w:cs="Times New Roman"/>
                <w:color w:val="00000A"/>
                <w:sz w:val="24"/>
                <w:szCs w:val="24"/>
                <w:lang w:val="en-GB"/>
              </w:rPr>
              <w:t>(2)</w:t>
            </w:r>
          </w:p>
        </w:tc>
      </w:tr>
      <w:tr w:rsidR="0045676C">
        <w:tc>
          <w:tcPr>
            <w:tcW w:w="869" w:type="dxa"/>
            <w:tcBorders>
              <w:top w:val="nil"/>
              <w:left w:val="nil"/>
              <w:bottom w:val="nil"/>
              <w:right w:val="nil"/>
            </w:tcBorders>
            <w:shd w:val="clear" w:color="auto" w:fill="auto"/>
          </w:tcPr>
          <w:p w:rsidR="0045676C" w:rsidRDefault="002E379A" w:rsidP="000354F9">
            <w:pPr>
              <w:spacing w:after="120" w:line="480" w:lineRule="auto"/>
              <w:jc w:val="both"/>
              <w:rPr>
                <w:rFonts w:ascii="Times New Roman" w:hAnsi="Times New Roman" w:cs="Times New Roman"/>
                <w:sz w:val="24"/>
                <w:szCs w:val="24"/>
                <w:lang w:val="en-GB"/>
              </w:rPr>
            </w:pPr>
            <w:r>
              <w:rPr>
                <w:rFonts w:ascii="Times New Roman" w:hAnsi="Times New Roman" w:cs="Times New Roman"/>
                <w:color w:val="00000A"/>
                <w:sz w:val="24"/>
                <w:szCs w:val="24"/>
                <w:lang w:val="en-GB"/>
              </w:rPr>
              <w:t>CFA:</w:t>
            </w:r>
          </w:p>
        </w:tc>
        <w:tc>
          <w:tcPr>
            <w:tcW w:w="8266" w:type="dxa"/>
            <w:tcBorders>
              <w:top w:val="nil"/>
              <w:left w:val="nil"/>
              <w:bottom w:val="nil"/>
              <w:right w:val="nil"/>
            </w:tcBorders>
            <w:shd w:val="clear" w:color="auto" w:fill="auto"/>
          </w:tcPr>
          <w:p w:rsidR="0045676C" w:rsidRPr="00671834" w:rsidRDefault="002E379A" w:rsidP="000354F9">
            <w:pPr>
              <w:spacing w:after="120" w:line="480" w:lineRule="auto"/>
              <w:rPr>
                <w:rFonts w:ascii="Times New Roman" w:hAnsi="Times New Roman" w:cs="Times New Roman"/>
                <w:sz w:val="24"/>
                <w:szCs w:val="24"/>
                <w:lang w:val="en-GB"/>
              </w:rPr>
            </w:pPr>
            <m:oMathPara>
              <m:oMathParaPr>
                <m:jc m:val="left"/>
              </m:oMathParaPr>
              <m:oMath>
                <m:r>
                  <w:rPr>
                    <w:rFonts w:ascii="Cambria Math" w:hAnsi="Cambria Math"/>
                  </w:rPr>
                  <m:t>pu</m:t>
                </m:r>
                <m:d>
                  <m:dPr>
                    <m:ctrlPr>
                      <w:rPr>
                        <w:rFonts w:ascii="Cambria Math" w:hAnsi="Cambria Math"/>
                      </w:rPr>
                    </m:ctrlPr>
                  </m:dPr>
                  <m:e>
                    <m:r>
                      <w:rPr>
                        <w:rFonts w:ascii="Cambria Math" w:hAnsi="Cambria Math"/>
                      </w:rPr>
                      <m:t>R-WTP+CFA</m:t>
                    </m:r>
                  </m:e>
                </m:d>
                <m:r>
                  <w:rPr>
                    <w:rFonts w:ascii="Cambria Math" w:hAnsi="Cambria Math"/>
                  </w:rPr>
                  <m:t>+</m:t>
                </m:r>
                <m:d>
                  <m:dPr>
                    <m:ctrlPr>
                      <w:rPr>
                        <w:rFonts w:ascii="Cambria Math" w:hAnsi="Cambria Math"/>
                      </w:rPr>
                    </m:ctrlPr>
                  </m:dPr>
                  <m:e>
                    <m:r>
                      <w:rPr>
                        <w:rFonts w:ascii="Cambria Math" w:hAnsi="Cambria Math"/>
                      </w:rPr>
                      <m:t>1-p</m:t>
                    </m:r>
                  </m:e>
                </m:d>
                <m:r>
                  <w:rPr>
                    <w:rFonts w:ascii="Cambria Math" w:hAnsi="Cambria Math"/>
                  </w:rPr>
                  <m:t>u</m:t>
                </m:r>
                <m:d>
                  <m:dPr>
                    <m:ctrlPr>
                      <w:rPr>
                        <w:rFonts w:ascii="Cambria Math" w:hAnsi="Cambria Math"/>
                      </w:rPr>
                    </m:ctrlPr>
                  </m:dPr>
                  <m:e>
                    <m:r>
                      <w:rPr>
                        <w:rFonts w:ascii="Cambria Math" w:hAnsi="Cambria Math"/>
                      </w:rPr>
                      <m:t>R-WTP</m:t>
                    </m:r>
                  </m:e>
                </m:d>
                <m:r>
                  <w:rPr>
                    <w:rFonts w:ascii="Cambria Math" w:hAnsi="Cambria Math"/>
                  </w:rPr>
                  <m:t>=pu</m:t>
                </m:r>
                <m:d>
                  <m:dPr>
                    <m:ctrlPr>
                      <w:rPr>
                        <w:rFonts w:ascii="Cambria Math" w:hAnsi="Cambria Math"/>
                      </w:rPr>
                    </m:ctrlPr>
                  </m:dPr>
                  <m:e>
                    <m:r>
                      <w:rPr>
                        <w:rFonts w:ascii="Cambria Math" w:hAnsi="Cambria Math"/>
                      </w:rPr>
                      <m:t>R-D</m:t>
                    </m:r>
                  </m:e>
                </m:d>
                <m:r>
                  <w:rPr>
                    <w:rFonts w:ascii="Cambria Math" w:hAnsi="Cambria Math"/>
                  </w:rPr>
                  <m:t>+</m:t>
                </m:r>
                <m:d>
                  <m:dPr>
                    <m:ctrlPr>
                      <w:rPr>
                        <w:rFonts w:ascii="Cambria Math" w:hAnsi="Cambria Math"/>
                      </w:rPr>
                    </m:ctrlPr>
                  </m:dPr>
                  <m:e>
                    <m:r>
                      <w:rPr>
                        <w:rFonts w:ascii="Cambria Math" w:hAnsi="Cambria Math"/>
                      </w:rPr>
                      <m:t>1-p</m:t>
                    </m:r>
                  </m:e>
                </m:d>
                <m:r>
                  <w:rPr>
                    <w:rFonts w:ascii="Cambria Math" w:hAnsi="Cambria Math"/>
                  </w:rPr>
                  <m:t>u</m:t>
                </m:r>
                <m:d>
                  <m:dPr>
                    <m:ctrlPr>
                      <w:rPr>
                        <w:rFonts w:ascii="Cambria Math" w:hAnsi="Cambria Math"/>
                      </w:rPr>
                    </m:ctrlPr>
                  </m:dPr>
                  <m:e>
                    <m:r>
                      <w:rPr>
                        <w:rFonts w:ascii="Cambria Math" w:hAnsi="Cambria Math"/>
                      </w:rPr>
                      <m:t>R</m:t>
                    </m:r>
                  </m:e>
                </m:d>
              </m:oMath>
            </m:oMathPara>
          </w:p>
        </w:tc>
        <w:tc>
          <w:tcPr>
            <w:tcW w:w="497" w:type="dxa"/>
            <w:tcBorders>
              <w:top w:val="nil"/>
              <w:left w:val="nil"/>
              <w:bottom w:val="nil"/>
              <w:right w:val="nil"/>
            </w:tcBorders>
            <w:shd w:val="clear" w:color="auto" w:fill="auto"/>
          </w:tcPr>
          <w:p w:rsidR="0045676C" w:rsidRDefault="002E379A" w:rsidP="000354F9">
            <w:pPr>
              <w:spacing w:after="120" w:line="480" w:lineRule="auto"/>
              <w:jc w:val="both"/>
              <w:rPr>
                <w:rFonts w:ascii="Times New Roman" w:hAnsi="Times New Roman" w:cs="Times New Roman"/>
                <w:sz w:val="24"/>
                <w:szCs w:val="24"/>
                <w:lang w:val="en-GB"/>
              </w:rPr>
            </w:pPr>
            <w:r>
              <w:rPr>
                <w:rFonts w:ascii="Times New Roman" w:hAnsi="Times New Roman" w:cs="Times New Roman"/>
                <w:color w:val="00000A"/>
                <w:sz w:val="24"/>
                <w:szCs w:val="24"/>
                <w:lang w:val="en-GB"/>
              </w:rPr>
              <w:t>(3)</w:t>
            </w:r>
          </w:p>
        </w:tc>
      </w:tr>
      <w:tr w:rsidR="0045676C">
        <w:tc>
          <w:tcPr>
            <w:tcW w:w="869" w:type="dxa"/>
            <w:tcBorders>
              <w:top w:val="nil"/>
              <w:left w:val="nil"/>
              <w:bottom w:val="nil"/>
              <w:right w:val="nil"/>
            </w:tcBorders>
            <w:shd w:val="clear" w:color="auto" w:fill="auto"/>
          </w:tcPr>
          <w:p w:rsidR="0045676C" w:rsidRDefault="002E379A" w:rsidP="000354F9">
            <w:pPr>
              <w:spacing w:after="120" w:line="480" w:lineRule="auto"/>
              <w:jc w:val="both"/>
              <w:rPr>
                <w:rFonts w:ascii="Times New Roman" w:hAnsi="Times New Roman" w:cs="Times New Roman"/>
                <w:sz w:val="24"/>
                <w:szCs w:val="24"/>
                <w:lang w:val="en-GB"/>
              </w:rPr>
            </w:pPr>
            <w:r>
              <w:rPr>
                <w:rFonts w:ascii="Times New Roman" w:hAnsi="Times New Roman" w:cs="Times New Roman"/>
                <w:color w:val="00000A"/>
                <w:sz w:val="24"/>
                <w:szCs w:val="24"/>
                <w:lang w:val="en-GB"/>
              </w:rPr>
              <w:t>IS:</w:t>
            </w:r>
          </w:p>
        </w:tc>
        <w:tc>
          <w:tcPr>
            <w:tcW w:w="8266" w:type="dxa"/>
            <w:tcBorders>
              <w:top w:val="nil"/>
              <w:left w:val="nil"/>
              <w:bottom w:val="nil"/>
              <w:right w:val="nil"/>
            </w:tcBorders>
            <w:shd w:val="clear" w:color="auto" w:fill="auto"/>
          </w:tcPr>
          <w:p w:rsidR="0045676C" w:rsidRDefault="002E379A" w:rsidP="000354F9">
            <w:pPr>
              <w:spacing w:after="120" w:line="480" w:lineRule="auto"/>
              <w:rPr>
                <w:rFonts w:ascii="Times New Roman" w:hAnsi="Times New Roman" w:cs="Times New Roman"/>
                <w:sz w:val="24"/>
                <w:szCs w:val="24"/>
                <w:lang w:val="en-GB"/>
              </w:rPr>
            </w:pPr>
            <m:oMath>
              <m:r>
                <w:rPr>
                  <w:rFonts w:ascii="Cambria Math" w:hAnsi="Cambria Math"/>
                </w:rPr>
                <m:t>u</m:t>
              </m:r>
              <m:d>
                <m:dPr>
                  <m:ctrlPr>
                    <w:rPr>
                      <w:rFonts w:ascii="Cambria Math" w:hAnsi="Cambria Math"/>
                    </w:rPr>
                  </m:ctrlPr>
                </m:dPr>
                <m:e>
                  <m:r>
                    <w:rPr>
                      <w:rFonts w:ascii="Cambria Math" w:hAnsi="Cambria Math"/>
                    </w:rPr>
                    <m:t>R-</m:t>
                  </m:r>
                  <m:d>
                    <m:dPr>
                      <m:ctrlPr>
                        <w:rPr>
                          <w:rFonts w:ascii="Cambria Math" w:hAnsi="Cambria Math"/>
                        </w:rPr>
                      </m:ctrlPr>
                    </m:dPr>
                    <m:e>
                      <m:r>
                        <w:rPr>
                          <w:rFonts w:ascii="Cambria Math" w:hAnsi="Cambria Math"/>
                        </w:rPr>
                        <m:t>1-IS</m:t>
                      </m:r>
                    </m:e>
                  </m:d>
                  <m:r>
                    <w:rPr>
                      <w:rFonts w:ascii="Cambria Math" w:hAnsi="Cambria Math"/>
                    </w:rPr>
                    <m:t>WTP</m:t>
                  </m:r>
                </m:e>
              </m:d>
              <m:r>
                <w:rPr>
                  <w:rFonts w:ascii="Cambria Math" w:hAnsi="Cambria Math"/>
                </w:rPr>
                <m:t>=pu</m:t>
              </m:r>
              <m:d>
                <m:dPr>
                  <m:ctrlPr>
                    <w:rPr>
                      <w:rFonts w:ascii="Cambria Math" w:hAnsi="Cambria Math"/>
                    </w:rPr>
                  </m:ctrlPr>
                </m:dPr>
                <m:e>
                  <m:r>
                    <w:rPr>
                      <w:rFonts w:ascii="Cambria Math" w:hAnsi="Cambria Math"/>
                    </w:rPr>
                    <m:t>R-D</m:t>
                  </m:r>
                </m:e>
              </m:d>
              <m:r>
                <w:rPr>
                  <w:rFonts w:ascii="Cambria Math" w:hAnsi="Cambria Math"/>
                </w:rPr>
                <m:t>+</m:t>
              </m:r>
              <m:d>
                <m:dPr>
                  <m:ctrlPr>
                    <w:rPr>
                      <w:rFonts w:ascii="Cambria Math" w:hAnsi="Cambria Math"/>
                    </w:rPr>
                  </m:ctrlPr>
                </m:dPr>
                <m:e>
                  <m:r>
                    <w:rPr>
                      <w:rFonts w:ascii="Cambria Math" w:hAnsi="Cambria Math"/>
                    </w:rPr>
                    <m:t>1-p</m:t>
                  </m:r>
                </m:e>
              </m:d>
              <m:r>
                <w:rPr>
                  <w:rFonts w:ascii="Cambria Math" w:hAnsi="Cambria Math"/>
                </w:rPr>
                <m:t>u</m:t>
              </m:r>
              <m:d>
                <m:dPr>
                  <m:ctrlPr>
                    <w:rPr>
                      <w:rFonts w:ascii="Cambria Math" w:hAnsi="Cambria Math"/>
                    </w:rPr>
                  </m:ctrlPr>
                </m:dPr>
                <m:e>
                  <m:r>
                    <w:rPr>
                      <w:rFonts w:ascii="Cambria Math" w:hAnsi="Cambria Math"/>
                    </w:rPr>
                    <m:t>R</m:t>
                  </m:r>
                </m:e>
              </m:d>
            </m:oMath>
            <w:r>
              <w:rPr>
                <w:rFonts w:ascii="Times New Roman" w:hAnsi="Times New Roman" w:cs="Times New Roman"/>
                <w:color w:val="00000A"/>
                <w:sz w:val="24"/>
                <w:szCs w:val="24"/>
                <w:lang w:val="en-GB"/>
              </w:rPr>
              <w:t xml:space="preserve">, </w:t>
            </w:r>
            <w:r w:rsidR="00671834">
              <w:rPr>
                <w:rFonts w:ascii="Times New Roman" w:hAnsi="Times New Roman" w:cs="Times New Roman"/>
                <w:color w:val="00000A"/>
                <w:sz w:val="24"/>
                <w:szCs w:val="24"/>
                <w:lang w:val="en-GB"/>
              </w:rPr>
              <w:t xml:space="preserve">  </w:t>
            </w:r>
            <w:r>
              <w:rPr>
                <w:rFonts w:ascii="Times New Roman" w:hAnsi="Times New Roman" w:cs="Times New Roman"/>
                <w:color w:val="00000A"/>
                <w:sz w:val="24"/>
                <w:szCs w:val="24"/>
                <w:lang w:val="en-GB"/>
              </w:rPr>
              <w:t xml:space="preserve">with </w:t>
            </w:r>
            <w:r w:rsidR="00671834">
              <w:rPr>
                <w:rFonts w:ascii="Times New Roman" w:hAnsi="Times New Roman" w:cs="Times New Roman"/>
                <w:color w:val="00000A"/>
                <w:sz w:val="24"/>
                <w:szCs w:val="24"/>
                <w:lang w:val="en-GB"/>
              </w:rPr>
              <w:t xml:space="preserve">  </w:t>
            </w:r>
            <m:oMath>
              <m:r>
                <w:rPr>
                  <w:rFonts w:ascii="Cambria Math" w:hAnsi="Cambria Math" w:cs="Times New Roman"/>
                  <w:color w:val="00000A"/>
                  <w:sz w:val="24"/>
                  <w:szCs w:val="24"/>
                  <w:lang w:val="en-GB"/>
                </w:rPr>
                <m:t>IS=50%</m:t>
              </m:r>
            </m:oMath>
          </w:p>
        </w:tc>
        <w:tc>
          <w:tcPr>
            <w:tcW w:w="497" w:type="dxa"/>
            <w:tcBorders>
              <w:top w:val="nil"/>
              <w:left w:val="nil"/>
              <w:bottom w:val="nil"/>
              <w:right w:val="nil"/>
            </w:tcBorders>
            <w:shd w:val="clear" w:color="auto" w:fill="auto"/>
          </w:tcPr>
          <w:p w:rsidR="0045676C" w:rsidRDefault="002E379A" w:rsidP="000354F9">
            <w:pPr>
              <w:spacing w:after="120" w:line="480" w:lineRule="auto"/>
              <w:jc w:val="both"/>
              <w:rPr>
                <w:rFonts w:ascii="Times New Roman" w:hAnsi="Times New Roman" w:cs="Times New Roman"/>
                <w:sz w:val="24"/>
                <w:szCs w:val="24"/>
                <w:lang w:val="en-GB"/>
              </w:rPr>
            </w:pPr>
            <w:r>
              <w:rPr>
                <w:rFonts w:ascii="Times New Roman" w:hAnsi="Times New Roman" w:cs="Times New Roman"/>
                <w:color w:val="00000A"/>
                <w:sz w:val="24"/>
                <w:szCs w:val="24"/>
                <w:lang w:val="en-GB"/>
              </w:rPr>
              <w:t>(4)</w:t>
            </w:r>
          </w:p>
        </w:tc>
      </w:tr>
    </w:tbl>
    <w:p w:rsidR="0045676C" w:rsidRDefault="002E379A" w:rsidP="000354F9">
      <w:pPr>
        <w:spacing w:after="12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sidRPr="007E013E">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the forest owners’ wealth, </w:t>
      </w:r>
      <w:r w:rsidRPr="007E013E">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the probability of fire occurrence, </w:t>
      </w:r>
      <w:r w:rsidRPr="007E013E">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the associated damage, and </w:t>
      </w:r>
      <w:r w:rsidRPr="007E013E">
        <w:rPr>
          <w:rFonts w:ascii="Times New Roman" w:eastAsia="Times New Roman" w:hAnsi="Times New Roman" w:cs="Times New Roman"/>
          <w:i/>
          <w:sz w:val="24"/>
          <w:szCs w:val="24"/>
        </w:rPr>
        <w:t>WTP</w:t>
      </w:r>
      <w:r>
        <w:rPr>
          <w:rFonts w:ascii="Times New Roman" w:eastAsia="Times New Roman" w:hAnsi="Times New Roman" w:cs="Times New Roman"/>
          <w:sz w:val="24"/>
          <w:szCs w:val="24"/>
        </w:rPr>
        <w:t xml:space="preserve"> the willingness-to-pay for insurance. It is straightforward from Equation (1) that under </w:t>
      </w:r>
      <w:r>
        <w:rPr>
          <w:rFonts w:ascii="Times New Roman" w:eastAsia="Times New Roman" w:hAnsi="Times New Roman" w:cs="Times New Roman"/>
          <w:sz w:val="24"/>
          <w:szCs w:val="24"/>
        </w:rPr>
        <w:lastRenderedPageBreak/>
        <w:t xml:space="preserve">expected utility theory (EUT), forest owners' WTP for full insurance should be positive unless there is no risk,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w:t>
      </w:r>
      <w:r w:rsidRPr="007E013E">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or </w:t>
      </w:r>
      <w:r w:rsidRPr="007E013E">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is 0, or wealth is infinite.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Concerning the probabilistic information about the fire risk, a  part of the sample was confronted to these scenarios in a risky context with no uncertainty about the annual probability of fire damage (assessed to 0.2%); while the other part faced uncertainty about the annual probability of fire damage. This ambiguity is implemented following </w:t>
      </w:r>
      <w:proofErr w:type="spellStart"/>
      <w:r>
        <w:rPr>
          <w:rFonts w:ascii="Times New Roman" w:eastAsia="Times New Roman" w:hAnsi="Times New Roman" w:cs="Times New Roman"/>
          <w:sz w:val="24"/>
          <w:szCs w:val="24"/>
        </w:rPr>
        <w:t>Gardenförs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Sahlin</w:t>
      </w:r>
      <w:proofErr w:type="spellEnd"/>
      <w:r>
        <w:rPr>
          <w:rFonts w:ascii="Times New Roman" w:eastAsia="Times New Roman" w:hAnsi="Times New Roman" w:cs="Times New Roman"/>
          <w:sz w:val="24"/>
          <w:szCs w:val="24"/>
        </w:rPr>
        <w:t xml:space="preserve"> (1982) by providing different values for the annual probability of fire occurrence with an average similar to the risky situation: </w:t>
      </w:r>
      <w:r>
        <w:rPr>
          <w:rFonts w:ascii="Times New Roman" w:eastAsia="Times New Roman" w:hAnsi="Times New Roman" w:cs="Times New Roman"/>
          <w:color w:val="131413"/>
          <w:sz w:val="24"/>
          <w:szCs w:val="24"/>
        </w:rPr>
        <w:t>0.05%, 0.15%, 0.25% and 0.35%.</w:t>
      </w:r>
      <w:r>
        <w:rPr>
          <w:rFonts w:ascii="Times New Roman" w:eastAsia="Times New Roman" w:hAnsi="Times New Roman" w:cs="Times New Roman"/>
          <w:sz w:val="24"/>
          <w:szCs w:val="24"/>
        </w:rPr>
        <w:t xml:space="preserve"> We indicated to the participants that these estimates of the probability of fire damage are provided by four different forestry experts.</w:t>
      </w:r>
      <w:r>
        <w:rPr>
          <w:rStyle w:val="Ancredenotedebasdepage"/>
          <w:rFonts w:ascii="Times New Roman" w:eastAsia="Times New Roman" w:hAnsi="Times New Roman" w:cs="Times New Roman"/>
          <w:sz w:val="24"/>
          <w:szCs w:val="24"/>
        </w:rPr>
        <w:footnoteReference w:id="1"/>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these four scenarios are replicated two times with two different annual revenues per hectare and per year (€250 or €500). Consequently, the expected loss (ELOSS) of forestry revenue is represented by a binary variable that takes the values of €0.5/hectare (0.2% × €250/ha) or €1/hectare (0.2% × €500/ha).</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Consequently, each of the 40 participants is confronted with eight scenarios, generating 320 observations. For each scenario, the forest owner was asked the maximal amount of annual insurance premium that s/he is willing to pay to be fully covered against potential losses due to fire.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experi</w:t>
      </w:r>
      <w:r w:rsidR="00A0323E">
        <w:rPr>
          <w:rFonts w:ascii="Times New Roman" w:eastAsia="Times New Roman" w:hAnsi="Times New Roman" w:cs="Times New Roman"/>
          <w:sz w:val="24"/>
          <w:szCs w:val="24"/>
        </w:rPr>
        <w:t xml:space="preserve">ment, the participants </w:t>
      </w:r>
      <w:r w:rsidR="00C51429">
        <w:rPr>
          <w:rFonts w:ascii="Times New Roman" w:eastAsia="Times New Roman" w:hAnsi="Times New Roman" w:cs="Times New Roman"/>
          <w:sz w:val="24"/>
          <w:szCs w:val="24"/>
        </w:rPr>
        <w:t>fill</w:t>
      </w:r>
      <w:r>
        <w:rPr>
          <w:rFonts w:ascii="Times New Roman" w:eastAsia="Times New Roman" w:hAnsi="Times New Roman" w:cs="Times New Roman"/>
          <w:sz w:val="24"/>
          <w:szCs w:val="24"/>
        </w:rPr>
        <w:t xml:space="preserve"> </w:t>
      </w:r>
      <w:r w:rsidR="00C51429">
        <w:rPr>
          <w:rFonts w:ascii="Times New Roman" w:eastAsia="Times New Roman" w:hAnsi="Times New Roman" w:cs="Times New Roman"/>
          <w:sz w:val="24"/>
          <w:szCs w:val="24"/>
        </w:rPr>
        <w:t xml:space="preserve">out </w:t>
      </w:r>
      <w:r>
        <w:rPr>
          <w:rFonts w:ascii="Times New Roman" w:eastAsia="Times New Roman" w:hAnsi="Times New Roman" w:cs="Times New Roman"/>
          <w:sz w:val="24"/>
          <w:szCs w:val="24"/>
        </w:rPr>
        <w:t xml:space="preserve">a questionnaire about their individual characteristics and those of their actual forest property. The descriptive statistics are provided in Table 1. In particular, owners </w:t>
      </w:r>
      <w:r w:rsidR="00A0323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asked whether they have already taken out a fire insurance policy for their forest proper</w:t>
      </w:r>
      <w:r w:rsidR="00C51429">
        <w:rPr>
          <w:rFonts w:ascii="Times New Roman" w:eastAsia="Times New Roman" w:hAnsi="Times New Roman" w:cs="Times New Roman"/>
          <w:sz w:val="24"/>
          <w:szCs w:val="24"/>
        </w:rPr>
        <w:t>ty. Nine forest owners indicate</w:t>
      </w:r>
      <w:r>
        <w:rPr>
          <w:rFonts w:ascii="Times New Roman" w:eastAsia="Times New Roman" w:hAnsi="Times New Roman" w:cs="Times New Roman"/>
          <w:sz w:val="24"/>
          <w:szCs w:val="24"/>
        </w:rPr>
        <w:t xml:space="preserve"> they bought forest insurance in the past, corresponding to 22.5% of our sample. This proportion is quite high compared to the rate of insured </w:t>
      </w:r>
      <w:r>
        <w:rPr>
          <w:rFonts w:ascii="Times New Roman" w:eastAsia="Times New Roman" w:hAnsi="Times New Roman" w:cs="Times New Roman"/>
          <w:sz w:val="24"/>
          <w:szCs w:val="24"/>
        </w:rPr>
        <w:lastRenderedPageBreak/>
        <w:t xml:space="preserve">forest owners in France, which is less than 2%. This may be justified by the importance of forest income in the total income (for 25% of forest owners more than 50% of their assets are composed of forest) and the high number of forest owners having already suffered from a fire occurrence in the past (45%). These statistics also reveal that the forest property is mainly acquired by inheritance in the 1990’s and the average forest area in the sample is 241 hectares.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statistics about the forest owner’s characteristics indicate that our sample is compo</w:t>
      </w:r>
      <w:r w:rsidR="00C51429">
        <w:rPr>
          <w:rFonts w:ascii="Times New Roman" w:eastAsia="Times New Roman" w:hAnsi="Times New Roman" w:cs="Times New Roman"/>
          <w:sz w:val="24"/>
          <w:szCs w:val="24"/>
        </w:rPr>
        <w:t>sed mainly with men, with High s</w:t>
      </w:r>
      <w:r>
        <w:rPr>
          <w:rFonts w:ascii="Times New Roman" w:eastAsia="Times New Roman" w:hAnsi="Times New Roman" w:cs="Times New Roman"/>
          <w:sz w:val="24"/>
          <w:szCs w:val="24"/>
        </w:rPr>
        <w:t xml:space="preserve">chool diploma or more (62.9%), that are either retired or farmer. They </w:t>
      </w:r>
      <w:r w:rsidR="00C51429">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on average 58.18 years old, and th</w:t>
      </w:r>
      <w:r w:rsidR="00C51429">
        <w:rPr>
          <w:rFonts w:ascii="Times New Roman" w:eastAsia="Times New Roman" w:hAnsi="Times New Roman" w:cs="Times New Roman"/>
          <w:sz w:val="24"/>
          <w:szCs w:val="24"/>
        </w:rPr>
        <w:t>eir household is composed o</w:t>
      </w:r>
      <w:r>
        <w:rPr>
          <w:rFonts w:ascii="Times New Roman" w:eastAsia="Times New Roman" w:hAnsi="Times New Roman" w:cs="Times New Roman"/>
          <w:sz w:val="24"/>
          <w:szCs w:val="24"/>
        </w:rPr>
        <w:t xml:space="preserve">n average of 2.55 persons and 0.90 children. The </w:t>
      </w:r>
      <w:r w:rsidR="00C51429">
        <w:rPr>
          <w:rFonts w:ascii="Times New Roman" w:eastAsia="Times New Roman" w:hAnsi="Times New Roman" w:cs="Times New Roman"/>
          <w:sz w:val="24"/>
          <w:szCs w:val="24"/>
        </w:rPr>
        <w:t>distribution</w:t>
      </w:r>
      <w:r>
        <w:rPr>
          <w:rFonts w:ascii="Times New Roman" w:eastAsia="Times New Roman" w:hAnsi="Times New Roman" w:cs="Times New Roman"/>
          <w:sz w:val="24"/>
          <w:szCs w:val="24"/>
        </w:rPr>
        <w:t xml:space="preserve"> of income </w:t>
      </w:r>
      <w:r w:rsidR="00C51429">
        <w:rPr>
          <w:rFonts w:ascii="Times New Roman" w:eastAsia="Times New Roman" w:hAnsi="Times New Roman" w:cs="Times New Roman"/>
          <w:sz w:val="24"/>
          <w:szCs w:val="24"/>
        </w:rPr>
        <w:t>displays</w:t>
      </w:r>
      <w:r>
        <w:rPr>
          <w:rFonts w:ascii="Times New Roman" w:eastAsia="Times New Roman" w:hAnsi="Times New Roman" w:cs="Times New Roman"/>
          <w:sz w:val="24"/>
          <w:szCs w:val="24"/>
        </w:rPr>
        <w:t xml:space="preserve"> </w:t>
      </w:r>
      <w:r w:rsidR="00C5142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higher percentage for medium classes (between €1</w:t>
      </w:r>
      <w:r w:rsidR="00C51429">
        <w:rPr>
          <w:rFonts w:ascii="Times New Roman" w:eastAsia="Times New Roman" w:hAnsi="Times New Roman" w:cs="Times New Roman"/>
          <w:sz w:val="24"/>
          <w:szCs w:val="24"/>
        </w:rPr>
        <w:t>,</w:t>
      </w:r>
      <w:r>
        <w:rPr>
          <w:rFonts w:ascii="Times New Roman" w:eastAsia="Times New Roman" w:hAnsi="Times New Roman" w:cs="Times New Roman"/>
          <w:sz w:val="24"/>
          <w:szCs w:val="24"/>
        </w:rPr>
        <w:t>000 and €2</w:t>
      </w:r>
      <w:r w:rsidR="00C51429">
        <w:rPr>
          <w:rFonts w:ascii="Times New Roman" w:eastAsia="Times New Roman" w:hAnsi="Times New Roman" w:cs="Times New Roman"/>
          <w:sz w:val="24"/>
          <w:szCs w:val="24"/>
        </w:rPr>
        <w:t>,</w:t>
      </w:r>
      <w:r>
        <w:rPr>
          <w:rFonts w:ascii="Times New Roman" w:eastAsia="Times New Roman" w:hAnsi="Times New Roman" w:cs="Times New Roman"/>
          <w:sz w:val="24"/>
          <w:szCs w:val="24"/>
        </w:rPr>
        <w:t>500).</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we cannot use all of these variables because of multicollinearity issues due to the low number of individual observations and the qualitative property of a majority of variables. For instance, we found high correlation between the variables INCOME and EDUC (education level).</w:t>
      </w:r>
    </w:p>
    <w:p w:rsidR="0045676C" w:rsidRDefault="002E379A" w:rsidP="000354F9">
      <w:pPr>
        <w:spacing w:after="120" w:line="480" w:lineRule="auto"/>
        <w:rPr>
          <w:rFonts w:ascii="Times New Roman" w:eastAsia="Times New Roman" w:hAnsi="Times New Roman" w:cs="Times New Roman"/>
          <w:b/>
          <w:sz w:val="24"/>
          <w:szCs w:val="24"/>
        </w:rPr>
      </w:pPr>
      <w:r>
        <w:br w:type="page"/>
      </w:r>
    </w:p>
    <w:p w:rsidR="0045676C" w:rsidRDefault="002E379A" w:rsidP="000354F9">
      <w:pPr>
        <w:spacing w:after="120" w:line="480" w:lineRule="auto"/>
        <w:jc w:val="center"/>
        <w:rPr>
          <w:rFonts w:ascii="Times New Roman" w:eastAsia="Times New Roman" w:hAnsi="Times New Roman" w:cs="Times New Roman"/>
        </w:rPr>
      </w:pPr>
      <w:proofErr w:type="gramStart"/>
      <w:r>
        <w:rPr>
          <w:rFonts w:ascii="Times New Roman" w:eastAsia="Times New Roman" w:hAnsi="Times New Roman" w:cs="Times New Roman"/>
          <w:b/>
        </w:rPr>
        <w:lastRenderedPageBreak/>
        <w:t>Table 1</w:t>
      </w:r>
      <w:r>
        <w:rPr>
          <w:rFonts w:ascii="Times New Roman" w:eastAsia="Times New Roman" w:hAnsi="Times New Roman" w:cs="Times New Roman"/>
        </w:rPr>
        <w:t>.</w:t>
      </w:r>
      <w:proofErr w:type="gramEnd"/>
      <w:r>
        <w:rPr>
          <w:rFonts w:ascii="Times New Roman" w:eastAsia="Times New Roman" w:hAnsi="Times New Roman" w:cs="Times New Roman"/>
        </w:rPr>
        <w:t xml:space="preserve"> Summary statistics of individual characteristics of forest owners and of their property (N = 40)</w:t>
      </w:r>
    </w:p>
    <w:tbl>
      <w:tblPr>
        <w:tblpPr w:leftFromText="141" w:rightFromText="141" w:vertAnchor="text" w:horzAnchor="margin" w:tblpY="317"/>
        <w:tblW w:w="9606" w:type="dxa"/>
        <w:tblBorders>
          <w:top w:val="single" w:sz="6" w:space="0" w:color="000001"/>
          <w:bottom w:val="single" w:sz="6" w:space="0" w:color="000001"/>
          <w:insideH w:val="single" w:sz="6" w:space="0" w:color="000001"/>
        </w:tblBorders>
        <w:tblLook w:val="0400" w:firstRow="0" w:lastRow="0" w:firstColumn="0" w:lastColumn="0" w:noHBand="0" w:noVBand="1"/>
      </w:tblPr>
      <w:tblGrid>
        <w:gridCol w:w="1470"/>
        <w:gridCol w:w="4170"/>
        <w:gridCol w:w="1860"/>
        <w:gridCol w:w="2106"/>
      </w:tblGrid>
      <w:tr w:rsidR="0045676C" w:rsidTr="00ED2A0A">
        <w:tc>
          <w:tcPr>
            <w:tcW w:w="1470" w:type="dxa"/>
            <w:tcBorders>
              <w:top w:val="single" w:sz="6" w:space="0" w:color="000001"/>
              <w:bottom w:val="single" w:sz="6" w:space="0" w:color="000001"/>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4170" w:type="dxa"/>
            <w:tcBorders>
              <w:top w:val="single" w:sz="6" w:space="0" w:color="000001"/>
              <w:bottom w:val="single" w:sz="6" w:space="0" w:color="000001"/>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Definition</w:t>
            </w:r>
          </w:p>
        </w:tc>
        <w:tc>
          <w:tcPr>
            <w:tcW w:w="1860" w:type="dxa"/>
            <w:tcBorders>
              <w:top w:val="single" w:sz="6" w:space="0" w:color="000001"/>
              <w:bottom w:val="single" w:sz="6" w:space="0" w:color="000001"/>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Nb</w:t>
            </w:r>
            <w:proofErr w:type="spellEnd"/>
            <w:r>
              <w:rPr>
                <w:rFonts w:ascii="Times New Roman" w:eastAsia="Times New Roman" w:hAnsi="Times New Roman" w:cs="Times New Roman"/>
                <w:sz w:val="20"/>
                <w:szCs w:val="20"/>
              </w:rPr>
              <w:t xml:space="preserve"> of individuals</w:t>
            </w:r>
          </w:p>
        </w:tc>
        <w:tc>
          <w:tcPr>
            <w:tcW w:w="2106" w:type="dxa"/>
            <w:tcBorders>
              <w:top w:val="single" w:sz="6" w:space="0" w:color="000001"/>
              <w:bottom w:val="single" w:sz="6" w:space="0" w:color="000001"/>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of the sample</w:t>
            </w:r>
          </w:p>
        </w:tc>
      </w:tr>
      <w:tr w:rsidR="0045676C" w:rsidTr="00ED2A0A">
        <w:tc>
          <w:tcPr>
            <w:tcW w:w="9606" w:type="dxa"/>
            <w:gridSpan w:val="4"/>
            <w:tcBorders>
              <w:top w:val="single" w:sz="6" w:space="0" w:color="000001"/>
              <w:bottom w:val="nil"/>
            </w:tcBorders>
            <w:shd w:val="clear" w:color="auto" w:fill="auto"/>
          </w:tcPr>
          <w:p w:rsidR="0045676C" w:rsidRDefault="002E379A" w:rsidP="000354F9">
            <w:pPr>
              <w:spacing w:before="120" w:after="120" w:line="480" w:lineRule="auto"/>
              <w:jc w:val="both"/>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Characteristics of owner’s forest property</w:t>
            </w:r>
          </w:p>
        </w:tc>
      </w:tr>
      <w:tr w:rsidR="0045676C" w:rsidTr="00ED2A0A">
        <w:tc>
          <w:tcPr>
            <w:tcW w:w="1470" w:type="dxa"/>
            <w:tcBorders>
              <w:top w:val="nil"/>
              <w:bottom w:val="nil"/>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Insurance coverage (IC)</w:t>
            </w:r>
          </w:p>
        </w:tc>
        <w:tc>
          <w:tcPr>
            <w:tcW w:w="4170" w:type="dxa"/>
            <w:tcBorders>
              <w:top w:val="nil"/>
              <w:bottom w:val="nil"/>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Fire insurance contract</w:t>
            </w:r>
          </w:p>
        </w:tc>
        <w:tc>
          <w:tcPr>
            <w:tcW w:w="1860" w:type="dxa"/>
            <w:tcBorders>
              <w:top w:val="nil"/>
              <w:bottom w:val="nil"/>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06" w:type="dxa"/>
            <w:tcBorders>
              <w:top w:val="nil"/>
              <w:bottom w:val="nil"/>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Acquisition</w:t>
            </w:r>
          </w:p>
        </w:tc>
        <w:tc>
          <w:tcPr>
            <w:tcW w:w="4170" w:type="dxa"/>
            <w:tcBorders>
              <w:top w:val="nil"/>
              <w:bottom w:val="nil"/>
            </w:tcBorders>
            <w:shd w:val="clear" w:color="auto" w:fill="auto"/>
          </w:tcPr>
          <w:p w:rsidR="0045676C" w:rsidRDefault="002E379A" w:rsidP="000354F9">
            <w:pPr>
              <w:spacing w:after="120" w:line="48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Mode of forest acquisition</w:t>
            </w:r>
          </w:p>
        </w:tc>
        <w:tc>
          <w:tcPr>
            <w:tcW w:w="186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2106"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Inheritance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Purchase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Alliance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Inheritance and purchase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Inheritance and alliance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Inheritance, purchase and alliance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%FOREST</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of forest in the assets</w:t>
            </w:r>
          </w:p>
        </w:tc>
        <w:tc>
          <w:tcPr>
            <w:tcW w:w="186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2106"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 1: &lt; 5%</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 2: 5-10%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 3: 10-15%</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 4: 15-20%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 5: 25-30%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 6: 35-40%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 7: 45-50%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jc w:val="both"/>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 8: &gt; 50%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FIRE</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occurrence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AREA </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Area of forest property (in hectares)</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241</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357.88</w:t>
            </w:r>
          </w:p>
        </w:tc>
      </w:tr>
      <w:tr w:rsidR="0045676C" w:rsidTr="00ED2A0A">
        <w:tc>
          <w:tcPr>
            <w:tcW w:w="9606" w:type="dxa"/>
            <w:gridSpan w:val="4"/>
            <w:tcBorders>
              <w:top w:val="nil"/>
              <w:bottom w:val="nil"/>
            </w:tcBorders>
            <w:shd w:val="clear" w:color="auto" w:fill="auto"/>
          </w:tcPr>
          <w:p w:rsidR="0045676C" w:rsidRDefault="002E379A" w:rsidP="000354F9">
            <w:pPr>
              <w:spacing w:before="120" w:after="120" w:line="48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Individual characteristics of forest owners</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Education level</w:t>
            </w:r>
          </w:p>
        </w:tc>
        <w:tc>
          <w:tcPr>
            <w:tcW w:w="186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2106"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Certificate of Secondary Education</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37.1</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diploma</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diploma +2, +3 and +4 years</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diploma +5 and over</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 respondent</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Profession</w:t>
            </w:r>
          </w:p>
        </w:tc>
        <w:tc>
          <w:tcPr>
            <w:tcW w:w="186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2106"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Retired</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Retired people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Farmer</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Farmers</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Intermediate</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Intermediate professions</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Employee</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Employees</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Manager</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Managers</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Total income</w:t>
            </w:r>
          </w:p>
        </w:tc>
        <w:tc>
          <w:tcPr>
            <w:tcW w:w="186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2106"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&lt;€1000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€1000-2000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€2000-2500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€2500-3000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45676C" w:rsidTr="00ED2A0A">
        <w:tc>
          <w:tcPr>
            <w:tcW w:w="1470"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&gt;€3000</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45676C" w:rsidTr="00ED2A0A">
        <w:tc>
          <w:tcPr>
            <w:tcW w:w="1470" w:type="dxa"/>
            <w:tcBorders>
              <w:top w:val="nil"/>
              <w:bottom w:val="nil"/>
            </w:tcBorders>
            <w:shd w:val="clear" w:color="auto" w:fill="auto"/>
          </w:tcPr>
          <w:p w:rsidR="0045676C" w:rsidRDefault="0045676C" w:rsidP="000354F9">
            <w:pPr>
              <w:spacing w:before="120" w:after="120" w:line="480" w:lineRule="auto"/>
              <w:rPr>
                <w:rFonts w:ascii="Times New Roman" w:eastAsia="Times New Roman" w:hAnsi="Times New Roman" w:cs="Times New Roman"/>
                <w:sz w:val="20"/>
                <w:szCs w:val="20"/>
              </w:rPr>
            </w:pPr>
          </w:p>
        </w:tc>
        <w:tc>
          <w:tcPr>
            <w:tcW w:w="4170" w:type="dxa"/>
            <w:tcBorders>
              <w:top w:val="nil"/>
              <w:bottom w:val="nil"/>
            </w:tcBorders>
            <w:shd w:val="clear" w:color="auto" w:fill="auto"/>
          </w:tcPr>
          <w:p w:rsidR="0045676C" w:rsidRDefault="0045676C" w:rsidP="000354F9">
            <w:pPr>
              <w:spacing w:before="120" w:after="120" w:line="480" w:lineRule="auto"/>
              <w:rPr>
                <w:rFonts w:ascii="Times New Roman" w:eastAsia="Times New Roman" w:hAnsi="Times New Roman" w:cs="Times New Roman"/>
                <w:sz w:val="20"/>
                <w:szCs w:val="20"/>
              </w:rPr>
            </w:pPr>
          </w:p>
        </w:tc>
        <w:tc>
          <w:tcPr>
            <w:tcW w:w="1860" w:type="dxa"/>
            <w:tcBorders>
              <w:top w:val="nil"/>
              <w:bottom w:val="nil"/>
            </w:tcBorders>
            <w:shd w:val="clear" w:color="auto" w:fill="auto"/>
          </w:tcPr>
          <w:p w:rsidR="0045676C" w:rsidRDefault="002E379A" w:rsidP="000354F9">
            <w:pPr>
              <w:spacing w:before="120"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w:t>
            </w:r>
          </w:p>
        </w:tc>
        <w:tc>
          <w:tcPr>
            <w:tcW w:w="2106" w:type="dxa"/>
            <w:tcBorders>
              <w:top w:val="nil"/>
              <w:bottom w:val="nil"/>
            </w:tcBorders>
            <w:shd w:val="clear" w:color="auto" w:fill="auto"/>
          </w:tcPr>
          <w:p w:rsidR="0045676C" w:rsidRDefault="002E379A" w:rsidP="000354F9">
            <w:pPr>
              <w:spacing w:before="120"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Std. Dev.</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 (in years)</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58.18</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12.24</w:t>
            </w:r>
          </w:p>
        </w:tc>
      </w:tr>
      <w:tr w:rsidR="0045676C" w:rsidTr="00ED2A0A">
        <w:tc>
          <w:tcPr>
            <w:tcW w:w="14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w:t>
            </w:r>
          </w:p>
        </w:tc>
        <w:tc>
          <w:tcPr>
            <w:tcW w:w="417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persons in the home</w:t>
            </w:r>
          </w:p>
        </w:tc>
        <w:tc>
          <w:tcPr>
            <w:tcW w:w="1860"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2.55</w:t>
            </w:r>
          </w:p>
        </w:tc>
        <w:tc>
          <w:tcPr>
            <w:tcW w:w="2106"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0.96</w:t>
            </w:r>
          </w:p>
        </w:tc>
      </w:tr>
      <w:tr w:rsidR="0045676C" w:rsidTr="00ED2A0A">
        <w:tc>
          <w:tcPr>
            <w:tcW w:w="1470" w:type="dxa"/>
            <w:tcBorders>
              <w:top w:val="nil"/>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w:t>
            </w:r>
          </w:p>
        </w:tc>
        <w:tc>
          <w:tcPr>
            <w:tcW w:w="4170" w:type="dxa"/>
            <w:tcBorders>
              <w:top w:val="nil"/>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children</w:t>
            </w:r>
          </w:p>
        </w:tc>
        <w:tc>
          <w:tcPr>
            <w:tcW w:w="1860" w:type="dxa"/>
            <w:tcBorders>
              <w:top w:val="nil"/>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2106" w:type="dxa"/>
            <w:tcBorders>
              <w:top w:val="nil"/>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r>
    </w:tbl>
    <w:p w:rsidR="000354F9" w:rsidRDefault="000354F9" w:rsidP="000354F9">
      <w:pPr>
        <w:spacing w:after="120" w:line="480" w:lineRule="auto"/>
        <w:jc w:val="both"/>
        <w:rPr>
          <w:rFonts w:ascii="Times New Roman" w:eastAsia="Times New Roman" w:hAnsi="Times New Roman" w:cs="Times New Roman"/>
          <w:sz w:val="24"/>
          <w:szCs w:val="24"/>
        </w:rPr>
      </w:pP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Descriptive statistics may also inform about the forest owners attitude towards risk. Following, </w:t>
      </w:r>
      <w:proofErr w:type="spellStart"/>
      <w:r>
        <w:rPr>
          <w:rFonts w:ascii="Times New Roman" w:eastAsia="Times New Roman" w:hAnsi="Times New Roman" w:cs="Times New Roman"/>
          <w:sz w:val="24"/>
          <w:szCs w:val="24"/>
        </w:rPr>
        <w:t>Kunreuther</w:t>
      </w:r>
      <w:proofErr w:type="spellEnd"/>
      <w:r>
        <w:rPr>
          <w:rFonts w:ascii="Times New Roman" w:eastAsia="Times New Roman" w:hAnsi="Times New Roman" w:cs="Times New Roman"/>
          <w:sz w:val="24"/>
          <w:szCs w:val="24"/>
        </w:rPr>
        <w:t xml:space="preserve"> et al. (1995) and </w:t>
      </w:r>
      <w:proofErr w:type="spellStart"/>
      <w:r>
        <w:rPr>
          <w:rFonts w:ascii="Times New Roman" w:eastAsia="Times New Roman" w:hAnsi="Times New Roman" w:cs="Times New Roman"/>
          <w:sz w:val="24"/>
          <w:szCs w:val="24"/>
        </w:rPr>
        <w:t>Cabantous</w:t>
      </w:r>
      <w:proofErr w:type="spellEnd"/>
      <w:r>
        <w:rPr>
          <w:rFonts w:ascii="Times New Roman" w:eastAsia="Times New Roman" w:hAnsi="Times New Roman" w:cs="Times New Roman"/>
          <w:sz w:val="24"/>
          <w:szCs w:val="24"/>
        </w:rPr>
        <w:t xml:space="preserve"> (2007), we analyze the ratio WTP/ELOSS in order to assess the forest owner’s attitude towards risk. When WTP/ELOSS &gt; 1 (respectively WTP/ELOSS</w:t>
      </w:r>
      <w:r w:rsidR="00C51429">
        <w:rPr>
          <w:rFonts w:ascii="Times New Roman" w:eastAsia="Times New Roman" w:hAnsi="Times New Roman" w:cs="Times New Roman"/>
          <w:sz w:val="24"/>
          <w:szCs w:val="24"/>
        </w:rPr>
        <w:t>&lt;</w:t>
      </w:r>
      <w:r>
        <w:rPr>
          <w:rFonts w:ascii="Times New Roman" w:eastAsia="Times New Roman" w:hAnsi="Times New Roman" w:cs="Times New Roman"/>
          <w:sz w:val="24"/>
          <w:szCs w:val="24"/>
        </w:rPr>
        <w:t>1, WTP</w:t>
      </w:r>
      <w:r w:rsidR="00C51429">
        <w:rPr>
          <w:rFonts w:ascii="Times New Roman" w:eastAsia="Times New Roman" w:hAnsi="Times New Roman" w:cs="Times New Roman"/>
          <w:sz w:val="24"/>
          <w:szCs w:val="24"/>
        </w:rPr>
        <w:t>/ELOSS=</w:t>
      </w:r>
      <w:r>
        <w:rPr>
          <w:rFonts w:ascii="Times New Roman" w:eastAsia="Times New Roman" w:hAnsi="Times New Roman" w:cs="Times New Roman"/>
          <w:sz w:val="24"/>
          <w:szCs w:val="24"/>
        </w:rPr>
        <w:t xml:space="preserve">1), the individual is risk averse (respectively risk lover, risk neutral). We report simple statistics of variables WTP and WTP/ELOSS in Table 2. </w:t>
      </w:r>
      <w:r w:rsidR="009A4534">
        <w:rPr>
          <w:rFonts w:ascii="Times New Roman" w:eastAsia="Times New Roman" w:hAnsi="Times New Roman" w:cs="Times New Roman"/>
          <w:sz w:val="24"/>
          <w:szCs w:val="24"/>
        </w:rPr>
        <w:t xml:space="preserve">On average, </w:t>
      </w:r>
      <w:r>
        <w:rPr>
          <w:rFonts w:ascii="Times New Roman" w:eastAsia="Times New Roman" w:hAnsi="Times New Roman" w:cs="Times New Roman"/>
          <w:sz w:val="24"/>
          <w:szCs w:val="24"/>
        </w:rPr>
        <w:t xml:space="preserve">hey indicate that the forest owners of the sample are risk averse with a ratio WTP/ELOSS </w:t>
      </w:r>
      <w:r w:rsidR="009A4534">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4.66. In addition, we observe that the WTP reported by forest owners goes from 0 to €100/ha with an average of €3.49/ha. As in previous studies, forest owners are</w:t>
      </w:r>
      <w:r w:rsidR="009A4534">
        <w:rPr>
          <w:rFonts w:ascii="Times New Roman" w:eastAsia="Times New Roman" w:hAnsi="Times New Roman" w:cs="Times New Roman"/>
          <w:sz w:val="24"/>
          <w:szCs w:val="24"/>
        </w:rPr>
        <w:t xml:space="preserve"> on average</w:t>
      </w:r>
      <w:r>
        <w:rPr>
          <w:rFonts w:ascii="Times New Roman" w:eastAsia="Times New Roman" w:hAnsi="Times New Roman" w:cs="Times New Roman"/>
          <w:sz w:val="24"/>
          <w:szCs w:val="24"/>
        </w:rPr>
        <w:t xml:space="preserve"> predominantly risk averse (Brunette et al. 2013; </w:t>
      </w:r>
      <w:proofErr w:type="spellStart"/>
      <w:r>
        <w:rPr>
          <w:rFonts w:ascii="Times New Roman" w:eastAsia="Times New Roman" w:hAnsi="Times New Roman" w:cs="Times New Roman"/>
          <w:sz w:val="24"/>
          <w:szCs w:val="24"/>
        </w:rPr>
        <w:t>Mußhoff</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Maart-Noelck</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Sauter</w:t>
      </w:r>
      <w:proofErr w:type="spellEnd"/>
      <w:r>
        <w:rPr>
          <w:rFonts w:ascii="Times New Roman" w:eastAsia="Times New Roman" w:hAnsi="Times New Roman" w:cs="Times New Roman"/>
          <w:sz w:val="24"/>
          <w:szCs w:val="24"/>
        </w:rPr>
        <w:t xml:space="preserve"> et al. 2016; Brunette et al. 2017). </w:t>
      </w:r>
    </w:p>
    <w:p w:rsidR="0045676C" w:rsidRDefault="002E379A" w:rsidP="000354F9">
      <w:pPr>
        <w:spacing w:after="120" w:line="480" w:lineRule="auto"/>
        <w:jc w:val="center"/>
        <w:rPr>
          <w:rFonts w:ascii="Times New Roman" w:eastAsia="Times New Roman" w:hAnsi="Times New Roman" w:cs="Times New Roman"/>
        </w:rPr>
      </w:pPr>
      <w:proofErr w:type="gramStart"/>
      <w:r>
        <w:rPr>
          <w:rFonts w:ascii="Times New Roman" w:eastAsia="Times New Roman" w:hAnsi="Times New Roman" w:cs="Times New Roman"/>
          <w:b/>
        </w:rPr>
        <w:t>Table 2</w:t>
      </w:r>
      <w:r>
        <w:rPr>
          <w:rFonts w:ascii="Times New Roman" w:eastAsia="Times New Roman" w:hAnsi="Times New Roman" w:cs="Times New Roman"/>
        </w:rPr>
        <w:t>.</w:t>
      </w:r>
      <w:proofErr w:type="gramEnd"/>
      <w:r>
        <w:rPr>
          <w:rFonts w:ascii="Times New Roman" w:eastAsia="Times New Roman" w:hAnsi="Times New Roman" w:cs="Times New Roman"/>
        </w:rPr>
        <w:t xml:space="preserve"> Summary statistics of WTP and WTP/ELOSS (N=320)</w:t>
      </w:r>
    </w:p>
    <w:tbl>
      <w:tblPr>
        <w:tblW w:w="9644" w:type="dxa"/>
        <w:tblInd w:w="82" w:type="dxa"/>
        <w:tblBorders>
          <w:top w:val="single" w:sz="6" w:space="0" w:color="000001"/>
          <w:bottom w:val="single" w:sz="6" w:space="0" w:color="000001"/>
          <w:insideH w:val="single" w:sz="6" w:space="0" w:color="000001"/>
        </w:tblBorders>
        <w:tblCellMar>
          <w:top w:w="100" w:type="dxa"/>
          <w:left w:w="100" w:type="dxa"/>
          <w:bottom w:w="100" w:type="dxa"/>
          <w:right w:w="100" w:type="dxa"/>
        </w:tblCellMar>
        <w:tblLook w:val="0600" w:firstRow="0" w:lastRow="0" w:firstColumn="0" w:lastColumn="0" w:noHBand="1" w:noVBand="1"/>
      </w:tblPr>
      <w:tblGrid>
        <w:gridCol w:w="1928"/>
        <w:gridCol w:w="1929"/>
        <w:gridCol w:w="1929"/>
        <w:gridCol w:w="1929"/>
        <w:gridCol w:w="1929"/>
      </w:tblGrid>
      <w:tr w:rsidR="0045676C" w:rsidTr="00D5448A">
        <w:tc>
          <w:tcPr>
            <w:tcW w:w="1928" w:type="dxa"/>
            <w:tcBorders>
              <w:top w:val="single" w:sz="6" w:space="0" w:color="000001"/>
              <w:bottom w:val="single" w:sz="4" w:space="0" w:color="auto"/>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929" w:type="dxa"/>
            <w:tcBorders>
              <w:top w:val="single" w:sz="6" w:space="0" w:color="000001"/>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Mean</w:t>
            </w:r>
          </w:p>
        </w:tc>
        <w:tc>
          <w:tcPr>
            <w:tcW w:w="1929" w:type="dxa"/>
            <w:tcBorders>
              <w:top w:val="single" w:sz="6" w:space="0" w:color="000001"/>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Std. Dev.</w:t>
            </w:r>
          </w:p>
        </w:tc>
        <w:tc>
          <w:tcPr>
            <w:tcW w:w="1929" w:type="dxa"/>
            <w:tcBorders>
              <w:top w:val="single" w:sz="6" w:space="0" w:color="000001"/>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p>
        </w:tc>
        <w:tc>
          <w:tcPr>
            <w:tcW w:w="1929" w:type="dxa"/>
            <w:tcBorders>
              <w:top w:val="single" w:sz="6" w:space="0" w:color="000001"/>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Max</w:t>
            </w:r>
          </w:p>
        </w:tc>
      </w:tr>
      <w:tr w:rsidR="0045676C" w:rsidTr="00D5448A">
        <w:tc>
          <w:tcPr>
            <w:tcW w:w="1928" w:type="dxa"/>
            <w:tcBorders>
              <w:top w:val="single" w:sz="4" w:space="0" w:color="auto"/>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WTP (€/ha)</w:t>
            </w:r>
          </w:p>
        </w:tc>
        <w:tc>
          <w:tcPr>
            <w:tcW w:w="1929" w:type="dxa"/>
            <w:tcBorders>
              <w:top w:val="single" w:sz="4" w:space="0" w:color="auto"/>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3.491758</w:t>
            </w:r>
          </w:p>
        </w:tc>
        <w:tc>
          <w:tcPr>
            <w:tcW w:w="1929" w:type="dxa"/>
            <w:tcBorders>
              <w:top w:val="single" w:sz="4" w:space="0" w:color="auto"/>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9.387642 </w:t>
            </w:r>
          </w:p>
        </w:tc>
        <w:tc>
          <w:tcPr>
            <w:tcW w:w="1929" w:type="dxa"/>
            <w:tcBorders>
              <w:top w:val="single" w:sz="4" w:space="0" w:color="auto"/>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929" w:type="dxa"/>
            <w:tcBorders>
              <w:top w:val="single" w:sz="4" w:space="0" w:color="auto"/>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45676C" w:rsidTr="00D5448A">
        <w:tc>
          <w:tcPr>
            <w:tcW w:w="1928" w:type="dxa"/>
            <w:tcBorders>
              <w:top w:val="nil"/>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WTP/ELOSS</w:t>
            </w:r>
          </w:p>
        </w:tc>
        <w:tc>
          <w:tcPr>
            <w:tcW w:w="1929" w:type="dxa"/>
            <w:tcBorders>
              <w:top w:val="nil"/>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4.658516</w:t>
            </w:r>
          </w:p>
        </w:tc>
        <w:tc>
          <w:tcPr>
            <w:tcW w:w="1929" w:type="dxa"/>
            <w:tcBorders>
              <w:top w:val="nil"/>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11.50618</w:t>
            </w:r>
          </w:p>
        </w:tc>
        <w:tc>
          <w:tcPr>
            <w:tcW w:w="1929" w:type="dxa"/>
            <w:tcBorders>
              <w:top w:val="nil"/>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929" w:type="dxa"/>
            <w:tcBorders>
              <w:top w:val="nil"/>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 320, </w:t>
      </w:r>
      <w:r>
        <w:rPr>
          <w:rFonts w:ascii="Times New Roman" w:eastAsia="Times New Roman" w:hAnsi="Times New Roman" w:cs="Times New Roman"/>
          <w:i/>
          <w:sz w:val="20"/>
          <w:szCs w:val="20"/>
        </w:rPr>
        <w:t>i.e.</w:t>
      </w:r>
      <w:r>
        <w:rPr>
          <w:rFonts w:ascii="Times New Roman" w:eastAsia="Times New Roman" w:hAnsi="Times New Roman" w:cs="Times New Roman"/>
          <w:sz w:val="20"/>
          <w:szCs w:val="20"/>
        </w:rPr>
        <w:t xml:space="preserve"> 40 forest owners had taken part in eight scenarios.</w:t>
      </w:r>
    </w:p>
    <w:p w:rsidR="0045676C" w:rsidRDefault="0045676C" w:rsidP="000354F9">
      <w:pPr>
        <w:spacing w:after="120" w:line="480" w:lineRule="auto"/>
        <w:jc w:val="both"/>
        <w:rPr>
          <w:rFonts w:ascii="Times New Roman" w:eastAsia="Times New Roman" w:hAnsi="Times New Roman" w:cs="Times New Roman"/>
          <w:sz w:val="24"/>
          <w:szCs w:val="24"/>
        </w:rPr>
      </w:pP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now look more carefully at the distributions of WTP and WTP/ELOSS in Tables 3 and 4 and in Figures 1 and 2, respectively. </w:t>
      </w:r>
    </w:p>
    <w:p w:rsidR="0045676C" w:rsidRDefault="002E379A" w:rsidP="000354F9">
      <w:pPr>
        <w:spacing w:after="120" w:line="480" w:lineRule="auto"/>
        <w:jc w:val="center"/>
        <w:rPr>
          <w:rFonts w:ascii="Times New Roman" w:eastAsia="Times New Roman" w:hAnsi="Times New Roman" w:cs="Times New Roman"/>
        </w:rPr>
      </w:pPr>
      <w:proofErr w:type="gramStart"/>
      <w:r>
        <w:rPr>
          <w:rFonts w:ascii="Times New Roman" w:eastAsia="Times New Roman" w:hAnsi="Times New Roman" w:cs="Times New Roman"/>
          <w:b/>
        </w:rPr>
        <w:t>Table 3</w:t>
      </w:r>
      <w:r>
        <w:rPr>
          <w:rFonts w:ascii="Times New Roman" w:eastAsia="Times New Roman" w:hAnsi="Times New Roman" w:cs="Times New Roman"/>
        </w:rPr>
        <w:t>.</w:t>
      </w:r>
      <w:proofErr w:type="gramEnd"/>
      <w:r>
        <w:rPr>
          <w:rFonts w:ascii="Times New Roman" w:eastAsia="Times New Roman" w:hAnsi="Times New Roman" w:cs="Times New Roman"/>
        </w:rPr>
        <w:t xml:space="preserve"> Proportion of WTP values in €/ha (N=320)</w:t>
      </w:r>
    </w:p>
    <w:tbl>
      <w:tblPr>
        <w:tblW w:w="9581" w:type="dxa"/>
        <w:tblInd w:w="85" w:type="dxa"/>
        <w:tblBorders>
          <w:top w:val="single" w:sz="6" w:space="0" w:color="000001"/>
          <w:bottom w:val="single" w:sz="6" w:space="0" w:color="000001"/>
          <w:insideH w:val="single" w:sz="6" w:space="0" w:color="000001"/>
        </w:tblBorders>
        <w:tblCellMar>
          <w:top w:w="100" w:type="dxa"/>
          <w:left w:w="100" w:type="dxa"/>
          <w:bottom w:w="100" w:type="dxa"/>
          <w:right w:w="100" w:type="dxa"/>
        </w:tblCellMar>
        <w:tblLook w:val="0600" w:firstRow="0" w:lastRow="0" w:firstColumn="0" w:lastColumn="0" w:noHBand="1" w:noVBand="1"/>
      </w:tblPr>
      <w:tblGrid>
        <w:gridCol w:w="737"/>
        <w:gridCol w:w="737"/>
        <w:gridCol w:w="737"/>
        <w:gridCol w:w="737"/>
        <w:gridCol w:w="737"/>
        <w:gridCol w:w="737"/>
        <w:gridCol w:w="737"/>
        <w:gridCol w:w="737"/>
        <w:gridCol w:w="737"/>
        <w:gridCol w:w="735"/>
        <w:gridCol w:w="737"/>
        <w:gridCol w:w="737"/>
        <w:gridCol w:w="739"/>
      </w:tblGrid>
      <w:tr w:rsidR="0045676C" w:rsidTr="00D12385">
        <w:trPr>
          <w:trHeight w:val="280"/>
        </w:trPr>
        <w:tc>
          <w:tcPr>
            <w:tcW w:w="736" w:type="dxa"/>
            <w:tcBorders>
              <w:top w:val="single" w:sz="6" w:space="0" w:color="000001"/>
              <w:bottom w:val="single" w:sz="6" w:space="0" w:color="000001"/>
            </w:tcBorders>
            <w:shd w:val="clear" w:color="auto" w:fill="auto"/>
            <w:vAlign w:val="center"/>
          </w:tcPr>
          <w:p w:rsidR="0045676C" w:rsidRDefault="0045676C" w:rsidP="000354F9">
            <w:pPr>
              <w:spacing w:after="120" w:line="480" w:lineRule="auto"/>
              <w:rPr>
                <w:rFonts w:ascii="Times New Roman" w:eastAsia="Times New Roman" w:hAnsi="Times New Roman" w:cs="Times New Roman"/>
                <w:sz w:val="20"/>
                <w:szCs w:val="20"/>
              </w:rPr>
            </w:pP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.0625</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.125</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.375</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735"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37"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39" w:type="dxa"/>
            <w:tcBorders>
              <w:top w:val="single" w:sz="6" w:space="0" w:color="000001"/>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&gt; 2</w:t>
            </w:r>
          </w:p>
        </w:tc>
      </w:tr>
      <w:tr w:rsidR="0045676C" w:rsidTr="00D12385">
        <w:trPr>
          <w:trHeight w:val="280"/>
        </w:trPr>
        <w:tc>
          <w:tcPr>
            <w:tcW w:w="736"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.040</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735"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737"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.047</w:t>
            </w:r>
          </w:p>
        </w:tc>
        <w:tc>
          <w:tcPr>
            <w:tcW w:w="739"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r>
      <w:tr w:rsidR="0045676C" w:rsidTr="00D12385">
        <w:trPr>
          <w:trHeight w:val="580"/>
        </w:trPr>
        <w:tc>
          <w:tcPr>
            <w:tcW w:w="736"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Std. Dev.</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735"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737"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.012</w:t>
            </w:r>
          </w:p>
        </w:tc>
        <w:tc>
          <w:tcPr>
            <w:tcW w:w="739"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r>
    </w:tbl>
    <w:p w:rsidR="0045676C" w:rsidRDefault="0045676C" w:rsidP="000354F9">
      <w:pPr>
        <w:spacing w:after="120" w:line="480" w:lineRule="auto"/>
        <w:jc w:val="both"/>
        <w:rPr>
          <w:rFonts w:ascii="Times New Roman" w:eastAsia="Times New Roman" w:hAnsi="Times New Roman" w:cs="Times New Roman"/>
          <w:sz w:val="24"/>
          <w:szCs w:val="24"/>
        </w:rPr>
      </w:pPr>
    </w:p>
    <w:p w:rsidR="0045676C" w:rsidRDefault="002E379A" w:rsidP="000354F9">
      <w:pPr>
        <w:spacing w:after="120" w:line="480" w:lineRule="auto"/>
        <w:jc w:val="center"/>
        <w:rPr>
          <w:rFonts w:ascii="Times New Roman" w:eastAsia="Times New Roman" w:hAnsi="Times New Roman" w:cs="Times New Roman"/>
        </w:rPr>
      </w:pPr>
      <w:proofErr w:type="gramStart"/>
      <w:r>
        <w:rPr>
          <w:rFonts w:ascii="Times New Roman" w:eastAsia="Times New Roman" w:hAnsi="Times New Roman" w:cs="Times New Roman"/>
          <w:b/>
        </w:rPr>
        <w:t>Table 4</w:t>
      </w:r>
      <w:r>
        <w:rPr>
          <w:rFonts w:ascii="Times New Roman" w:eastAsia="Times New Roman" w:hAnsi="Times New Roman" w:cs="Times New Roman"/>
        </w:rPr>
        <w:t>.</w:t>
      </w:r>
      <w:proofErr w:type="gramEnd"/>
      <w:r>
        <w:rPr>
          <w:rFonts w:ascii="Times New Roman" w:eastAsia="Times New Roman" w:hAnsi="Times New Roman" w:cs="Times New Roman"/>
        </w:rPr>
        <w:t xml:space="preserve"> Proportion of WTP/ELOSS values (N=320)</w:t>
      </w:r>
    </w:p>
    <w:tbl>
      <w:tblPr>
        <w:tblW w:w="7142" w:type="dxa"/>
        <w:tblInd w:w="835" w:type="dxa"/>
        <w:tblBorders>
          <w:top w:val="single" w:sz="6" w:space="0" w:color="000001"/>
          <w:bottom w:val="single" w:sz="6" w:space="0" w:color="000001"/>
          <w:insideH w:val="single" w:sz="6" w:space="0" w:color="000001"/>
        </w:tblBorders>
        <w:tblCellMar>
          <w:top w:w="100" w:type="dxa"/>
          <w:left w:w="100" w:type="dxa"/>
          <w:bottom w:w="100" w:type="dxa"/>
          <w:right w:w="100" w:type="dxa"/>
        </w:tblCellMar>
        <w:tblLook w:val="0600" w:firstRow="0" w:lastRow="0" w:firstColumn="0" w:lastColumn="0" w:noHBand="1" w:noVBand="1"/>
      </w:tblPr>
      <w:tblGrid>
        <w:gridCol w:w="794"/>
        <w:gridCol w:w="791"/>
        <w:gridCol w:w="793"/>
        <w:gridCol w:w="794"/>
        <w:gridCol w:w="794"/>
        <w:gridCol w:w="795"/>
        <w:gridCol w:w="794"/>
        <w:gridCol w:w="794"/>
        <w:gridCol w:w="793"/>
      </w:tblGrid>
      <w:tr w:rsidR="0045676C">
        <w:tc>
          <w:tcPr>
            <w:tcW w:w="793" w:type="dxa"/>
            <w:tcBorders>
              <w:top w:val="single" w:sz="6" w:space="0" w:color="000001"/>
              <w:bottom w:val="single" w:sz="6" w:space="0" w:color="000001"/>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791" w:type="dxa"/>
            <w:tcBorders>
              <w:top w:val="single" w:sz="6" w:space="0" w:color="000001"/>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793" w:type="dxa"/>
            <w:tcBorders>
              <w:top w:val="single" w:sz="6" w:space="0" w:color="000001"/>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.125</w:t>
            </w:r>
          </w:p>
        </w:tc>
        <w:tc>
          <w:tcPr>
            <w:tcW w:w="794" w:type="dxa"/>
            <w:tcBorders>
              <w:top w:val="single" w:sz="6" w:space="0" w:color="000001"/>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794" w:type="dxa"/>
            <w:tcBorders>
              <w:top w:val="single" w:sz="6" w:space="0" w:color="000001"/>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95" w:type="dxa"/>
            <w:tcBorders>
              <w:top w:val="single" w:sz="6" w:space="0" w:color="000001"/>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94" w:type="dxa"/>
            <w:tcBorders>
              <w:top w:val="single" w:sz="6" w:space="0" w:color="000001"/>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794" w:type="dxa"/>
            <w:tcBorders>
              <w:top w:val="single" w:sz="6" w:space="0" w:color="000001"/>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93" w:type="dxa"/>
            <w:tcBorders>
              <w:top w:val="single" w:sz="6" w:space="0" w:color="000001"/>
              <w:bottom w:val="single" w:sz="6" w:space="0" w:color="000001"/>
            </w:tcBorders>
            <w:shd w:val="clear" w:color="auto" w:fill="auto"/>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&gt; 1</w:t>
            </w:r>
          </w:p>
        </w:tc>
      </w:tr>
      <w:tr w:rsidR="0045676C" w:rsidTr="00D12385">
        <w:tc>
          <w:tcPr>
            <w:tcW w:w="793" w:type="dxa"/>
            <w:tcBorders>
              <w:top w:val="single" w:sz="6" w:space="0" w:color="000001"/>
              <w:bottom w:val="nil"/>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w:t>
            </w:r>
          </w:p>
        </w:tc>
        <w:tc>
          <w:tcPr>
            <w:tcW w:w="791"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793"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c>
          <w:tcPr>
            <w:tcW w:w="794"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.072</w:t>
            </w:r>
          </w:p>
        </w:tc>
        <w:tc>
          <w:tcPr>
            <w:tcW w:w="794"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.197</w:t>
            </w:r>
          </w:p>
        </w:tc>
        <w:tc>
          <w:tcPr>
            <w:tcW w:w="795" w:type="dxa"/>
            <w:tcBorders>
              <w:top w:val="single" w:sz="6" w:space="0" w:color="000001"/>
              <w:bottom w:val="nil"/>
            </w:tcBorders>
            <w:shd w:val="clear" w:color="auto" w:fill="auto"/>
            <w:vAlign w:val="center"/>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794"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c>
          <w:tcPr>
            <w:tcW w:w="794"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793" w:type="dxa"/>
            <w:tcBorders>
              <w:top w:val="single" w:sz="6" w:space="0" w:color="000001"/>
              <w:bottom w:val="nil"/>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.347</w:t>
            </w:r>
          </w:p>
        </w:tc>
      </w:tr>
      <w:tr w:rsidR="0045676C" w:rsidTr="00D12385">
        <w:tc>
          <w:tcPr>
            <w:tcW w:w="793" w:type="dxa"/>
            <w:tcBorders>
              <w:top w:val="nil"/>
              <w:bottom w:val="single" w:sz="6" w:space="0" w:color="000001"/>
            </w:tcBorders>
            <w:shd w:val="clear" w:color="auto" w:fill="auto"/>
            <w:vAlign w:val="center"/>
          </w:tcPr>
          <w:p w:rsidR="0045676C" w:rsidRDefault="002E379A" w:rsidP="000354F9">
            <w:pPr>
              <w:spacing w:after="12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Std. Dev.</w:t>
            </w:r>
          </w:p>
        </w:tc>
        <w:tc>
          <w:tcPr>
            <w:tcW w:w="791"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793"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94"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794"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795"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794"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794"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793" w:type="dxa"/>
            <w:tcBorders>
              <w:top w:val="nil"/>
              <w:bottom w:val="single" w:sz="6" w:space="0" w:color="000001"/>
            </w:tcBorders>
            <w:shd w:val="clear" w:color="auto" w:fill="auto"/>
            <w:vAlign w:val="center"/>
          </w:tcPr>
          <w:p w:rsidR="0045676C" w:rsidRDefault="002E379A" w:rsidP="000354F9">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p>
        </w:tc>
      </w:tr>
    </w:tbl>
    <w:p w:rsidR="0045676C" w:rsidRDefault="0045676C" w:rsidP="000354F9">
      <w:pPr>
        <w:spacing w:after="120" w:line="480" w:lineRule="auto"/>
        <w:jc w:val="both"/>
      </w:pP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reveals that 77.5% of responses for full coverage against fire is comprised between 0 and €2/ha, with 12.8% of zero values, 13.1% of €0.25, 20.3% responds €0.5 and 17.8% are willing to pay €1/ha. Figure 1 makes it possible to observe a high concentration of WTP responses between 0 and €5/ha.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 indicates that 22.22% of the sample is composed with risk neutral owners, while 34.7% are characterized as risk averse. We can then deduce that the mean WTP/ELOSS, that is 4.66 (Table 2), is drawn from the top by extreme risk averse owners,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those reporting very high WTP. Figure 2 </w:t>
      </w:r>
      <w:r>
        <w:rPr>
          <w:rFonts w:ascii="Times New Roman" w:eastAsia="Times New Roman" w:hAnsi="Times New Roman" w:cs="Times New Roman"/>
          <w:sz w:val="24"/>
          <w:szCs w:val="24"/>
        </w:rPr>
        <w:lastRenderedPageBreak/>
        <w:t xml:space="preserve">shows that, on the same trend, more than 40% of the owners are characterized as risk lovers,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WTP/ELOSS inferior to 1. </w:t>
      </w:r>
    </w:p>
    <w:p w:rsidR="0045676C" w:rsidRDefault="002E379A" w:rsidP="000354F9">
      <w:pPr>
        <w:spacing w:after="120" w:line="48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Figure 1.</w:t>
      </w:r>
      <w:proofErr w:type="gramEnd"/>
      <w:r>
        <w:rPr>
          <w:rFonts w:ascii="Times New Roman" w:eastAsia="Times New Roman" w:hAnsi="Times New Roman" w:cs="Times New Roman"/>
          <w:sz w:val="24"/>
          <w:szCs w:val="24"/>
        </w:rPr>
        <w:t xml:space="preserve"> Distribution of willingness-to-pay</w:t>
      </w:r>
    </w:p>
    <w:p w:rsidR="0045676C" w:rsidRDefault="002E379A" w:rsidP="000354F9">
      <w:pPr>
        <w:spacing w:after="120" w:line="480" w:lineRule="auto"/>
        <w:jc w:val="center"/>
        <w:rPr>
          <w:rFonts w:ascii="Times New Roman" w:eastAsia="Times New Roman" w:hAnsi="Times New Roman" w:cs="Times New Roman"/>
          <w:sz w:val="24"/>
          <w:szCs w:val="24"/>
        </w:rPr>
      </w:pPr>
      <w:r>
        <w:rPr>
          <w:noProof/>
          <w:lang w:val="fr-FR"/>
        </w:rPr>
        <w:drawing>
          <wp:inline distT="0" distB="0" distL="0" distR="0" wp14:anchorId="070FBE2C" wp14:editId="01FF5669">
            <wp:extent cx="4255135" cy="2426335"/>
            <wp:effectExtent l="0" t="0" r="0" b="0"/>
            <wp:docPr id="1" name="image2.png" descr="Graph CAP - width 5 - per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Graph CAP - width 5 - percent.png"/>
                    <pic:cNvPicPr>
                      <a:picLocks noChangeAspect="1" noChangeArrowheads="1"/>
                    </pic:cNvPicPr>
                  </pic:nvPicPr>
                  <pic:blipFill>
                    <a:blip r:embed="rId8"/>
                    <a:stretch>
                      <a:fillRect/>
                    </a:stretch>
                  </pic:blipFill>
                  <pic:spPr bwMode="auto">
                    <a:xfrm>
                      <a:off x="0" y="0"/>
                      <a:ext cx="4255135" cy="2426335"/>
                    </a:xfrm>
                    <a:prstGeom prst="rect">
                      <a:avLst/>
                    </a:prstGeom>
                  </pic:spPr>
                </pic:pic>
              </a:graphicData>
            </a:graphic>
          </wp:inline>
        </w:drawing>
      </w:r>
    </w:p>
    <w:p w:rsidR="0045676C" w:rsidRDefault="002E379A" w:rsidP="000354F9">
      <w:pPr>
        <w:spacing w:after="120" w:line="48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Figure 2.</w:t>
      </w:r>
      <w:proofErr w:type="gramEnd"/>
      <w:r>
        <w:rPr>
          <w:rFonts w:ascii="Times New Roman" w:eastAsia="Times New Roman" w:hAnsi="Times New Roman" w:cs="Times New Roman"/>
          <w:sz w:val="24"/>
          <w:szCs w:val="24"/>
        </w:rPr>
        <w:t xml:space="preserve"> Distribution of WTP/ELOSS (restricted to the interval [0</w:t>
      </w:r>
      <w:proofErr w:type="gramStart"/>
      <w:r>
        <w:rPr>
          <w:rFonts w:ascii="Times New Roman" w:eastAsia="Times New Roman" w:hAnsi="Times New Roman" w:cs="Times New Roman"/>
          <w:sz w:val="24"/>
          <w:szCs w:val="24"/>
        </w:rPr>
        <w:t>;40</w:t>
      </w:r>
      <w:proofErr w:type="gramEnd"/>
      <w:r>
        <w:rPr>
          <w:rFonts w:ascii="Times New Roman" w:eastAsia="Times New Roman" w:hAnsi="Times New Roman" w:cs="Times New Roman"/>
          <w:sz w:val="24"/>
          <w:szCs w:val="24"/>
        </w:rPr>
        <w:t>])</w:t>
      </w:r>
    </w:p>
    <w:p w:rsidR="0045676C" w:rsidRDefault="002E379A" w:rsidP="000354F9">
      <w:pPr>
        <w:spacing w:after="120" w:line="480" w:lineRule="auto"/>
        <w:jc w:val="center"/>
        <w:rPr>
          <w:rFonts w:ascii="Times New Roman" w:eastAsia="Times New Roman" w:hAnsi="Times New Roman" w:cs="Times New Roman"/>
          <w:sz w:val="24"/>
          <w:szCs w:val="24"/>
        </w:rPr>
      </w:pPr>
      <w:r>
        <w:rPr>
          <w:noProof/>
          <w:lang w:val="fr-FR"/>
        </w:rPr>
        <w:drawing>
          <wp:inline distT="0" distB="0" distL="0" distR="0" wp14:anchorId="3BA2A501" wp14:editId="69A0ED4E">
            <wp:extent cx="4198620" cy="2426335"/>
            <wp:effectExtent l="0" t="0" r="0" b="0"/>
            <wp:docPr id="2" name="image4.png" descr="Graph CAP_EP - width 1 moins 50 - per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Graph CAP_EP - width 1 moins 50 - percent.png"/>
                    <pic:cNvPicPr>
                      <a:picLocks noChangeAspect="1" noChangeArrowheads="1"/>
                    </pic:cNvPicPr>
                  </pic:nvPicPr>
                  <pic:blipFill>
                    <a:blip r:embed="rId9"/>
                    <a:stretch>
                      <a:fillRect/>
                    </a:stretch>
                  </pic:blipFill>
                  <pic:spPr bwMode="auto">
                    <a:xfrm>
                      <a:off x="0" y="0"/>
                      <a:ext cx="4198620" cy="2426335"/>
                    </a:xfrm>
                    <a:prstGeom prst="rect">
                      <a:avLst/>
                    </a:prstGeom>
                  </pic:spPr>
                </pic:pic>
              </a:graphicData>
            </a:graphic>
          </wp:inline>
        </w:drawing>
      </w:r>
    </w:p>
    <w:p w:rsidR="0045676C" w:rsidRDefault="002E379A" w:rsidP="000354F9">
      <w:pPr>
        <w:numPr>
          <w:ilvl w:val="0"/>
          <w:numId w:val="1"/>
        </w:numPr>
        <w:spacing w:after="120" w:line="480" w:lineRule="auto"/>
        <w:ind w:left="284"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Econometric specification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Forest owners surveyed in our sample are asked how much they are willing to pay to be fully insured against fire risk. Table 3 just above displays that 12.8% of the sample indicate</w:t>
      </w:r>
      <w:r w:rsidR="009A45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zero WTPs to be fully insured against risk, that is not consistent with the prediction of EUT described in </w:t>
      </w:r>
      <w:r>
        <w:rPr>
          <w:rFonts w:ascii="Times New Roman" w:eastAsia="Times New Roman" w:hAnsi="Times New Roman" w:cs="Times New Roman"/>
          <w:sz w:val="24"/>
          <w:szCs w:val="24"/>
        </w:rPr>
        <w:lastRenderedPageBreak/>
        <w:t>Section 1. We propose two potential explanations, based first on optimization error and second on that forest owners may not be EU maximizer.</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note that the expected loss per hectare is quite low either €0.5 or €1 per hectare. Thus, the WTP to be fully insured against this loss may take low values. Then, it is not excluded that</w:t>
      </w:r>
      <w:r w:rsidR="009A45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due to optimization errors, forest owners with low WTP announce zero values as a corner solution. Second, zero values may be the result of a decision process that is not grounded on EUT. They may represent protest responses from people that do not act as rational producers. Another “more behavioral” explanation comes from the possibility that a forest owner distorts the fire probability such that it is close or equal to 0 and consequently WTP tends (or is equal) to 0 too.</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thus propose two alternative models to consider these two explanations: i) a standard Tobit model that may be suited for optimization error and ii) a double hurdle model with a specific equation explaining protest values or probability distortion in addition to optimization error.</w:t>
      </w:r>
      <w:r>
        <w:rPr>
          <w:rStyle w:val="Ancredenotedebasdepage"/>
          <w:rFonts w:ascii="Times New Roman" w:eastAsia="Times New Roman" w:hAnsi="Times New Roman" w:cs="Times New Roman"/>
          <w:sz w:val="24"/>
          <w:szCs w:val="24"/>
        </w:rPr>
        <w:footnoteReference w:id="2"/>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model we make the assumption that the real insurance decision and the hypothetical willingness-to-pay may be correlated because they possibly share unobservable components from the underlying decision process based on individual’s preferences. That is why we specify the following Seemingly Unrelated Regression (SUR) model with </w:t>
      </w:r>
      <w:r>
        <w:rPr>
          <w:rFonts w:ascii="Times New Roman" w:eastAsia="Times New Roman" w:hAnsi="Times New Roman" w:cs="Times New Roman"/>
          <w:i/>
          <w:sz w:val="24"/>
          <w:szCs w:val="24"/>
        </w:rPr>
        <w:t xml:space="preserve">IC </w:t>
      </w:r>
      <w:r>
        <w:rPr>
          <w:rFonts w:ascii="Times New Roman" w:eastAsia="Times New Roman" w:hAnsi="Times New Roman" w:cs="Times New Roman"/>
          <w:sz w:val="24"/>
          <w:szCs w:val="24"/>
        </w:rPr>
        <w:t xml:space="preserve">for the real insurance choice and </w:t>
      </w:r>
      <w:r>
        <w:rPr>
          <w:rFonts w:ascii="Times New Roman" w:eastAsia="Times New Roman" w:hAnsi="Times New Roman" w:cs="Times New Roman"/>
          <w:i/>
          <w:sz w:val="24"/>
          <w:szCs w:val="24"/>
        </w:rPr>
        <w:t xml:space="preserve">WTP </w:t>
      </w:r>
      <w:r>
        <w:rPr>
          <w:rFonts w:ascii="Times New Roman" w:eastAsia="Times New Roman" w:hAnsi="Times New Roman" w:cs="Times New Roman"/>
          <w:sz w:val="24"/>
          <w:szCs w:val="24"/>
        </w:rPr>
        <w:t>for the hypothetical choice:</w:t>
      </w:r>
    </w:p>
    <w:tbl>
      <w:tblPr>
        <w:tblStyle w:val="Grilledutableau"/>
        <w:tblW w:w="9212" w:type="dxa"/>
        <w:tblInd w:w="-108" w:type="dxa"/>
        <w:tblCellMar>
          <w:left w:w="0" w:type="dxa"/>
          <w:right w:w="0" w:type="dxa"/>
        </w:tblCellMar>
        <w:tblLook w:val="04A0" w:firstRow="1" w:lastRow="0" w:firstColumn="1" w:lastColumn="0" w:noHBand="0" w:noVBand="1"/>
      </w:tblPr>
      <w:tblGrid>
        <w:gridCol w:w="2234"/>
        <w:gridCol w:w="3907"/>
        <w:gridCol w:w="3071"/>
      </w:tblGrid>
      <w:tr w:rsidR="0045676C">
        <w:tc>
          <w:tcPr>
            <w:tcW w:w="2234" w:type="dxa"/>
            <w:tcBorders>
              <w:top w:val="nil"/>
              <w:left w:val="nil"/>
              <w:bottom w:val="nil"/>
              <w:right w:val="nil"/>
            </w:tcBorders>
            <w:shd w:val="clear" w:color="auto" w:fill="auto"/>
          </w:tcPr>
          <w:p w:rsidR="0045676C" w:rsidRPr="005758B0" w:rsidRDefault="0045676C" w:rsidP="000354F9">
            <w:pPr>
              <w:spacing w:after="120" w:line="480" w:lineRule="auto"/>
              <w:rPr>
                <w:color w:val="00000A"/>
                <w:sz w:val="24"/>
                <w:szCs w:val="24"/>
              </w:rPr>
            </w:pPr>
          </w:p>
        </w:tc>
        <w:tc>
          <w:tcPr>
            <w:tcW w:w="3907" w:type="dxa"/>
            <w:tcBorders>
              <w:top w:val="nil"/>
              <w:left w:val="nil"/>
              <w:bottom w:val="nil"/>
              <w:right w:val="nil"/>
            </w:tcBorders>
            <w:shd w:val="clear" w:color="auto" w:fill="auto"/>
          </w:tcPr>
          <w:p w:rsidR="0045676C" w:rsidRDefault="00EF3F5A" w:rsidP="000354F9">
            <w:pPr>
              <w:spacing w:after="120" w:line="480" w:lineRule="auto"/>
              <w:rPr>
                <w:rFonts w:ascii="Times New Roman" w:hAnsi="Times New Roman" w:cs="Times New Roman"/>
                <w:sz w:val="24"/>
                <w:szCs w:val="24"/>
                <w:lang w:val="en-GB"/>
              </w:rPr>
            </w:pPr>
            <m:oMathPara>
              <m:oMath>
                <m:sSubSup>
                  <m:sSubSupPr>
                    <m:ctrlPr>
                      <w:rPr>
                        <w:rFonts w:ascii="Cambria Math" w:hAnsi="Cambria Math"/>
                      </w:rPr>
                    </m:ctrlPr>
                  </m:sSubSupPr>
                  <m:e>
                    <m:r>
                      <w:rPr>
                        <w:rFonts w:ascii="Cambria Math" w:hAnsi="Cambria Math"/>
                      </w:rPr>
                      <m:t>IC</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C</m:t>
                    </m:r>
                  </m:sup>
                </m:sSubSup>
                <m:sSub>
                  <m:sSubPr>
                    <m:ctrlPr>
                      <w:rPr>
                        <w:rFonts w:ascii="Cambria Math" w:hAnsi="Cambria Math"/>
                      </w:rPr>
                    </m:ctrlPr>
                  </m:sSubPr>
                  <m:e>
                    <m:r>
                      <w:rPr>
                        <w:rFonts w:ascii="Cambria Math" w:hAnsi="Cambria Math"/>
                      </w:rPr>
                      <m:t>β</m:t>
                    </m:r>
                  </m:e>
                  <m:sub>
                    <m:r>
                      <w:rPr>
                        <w:rFonts w:ascii="Cambria Math" w:hAnsi="Cambria Math"/>
                      </w:rPr>
                      <m:t>C</m:t>
                    </m:r>
                  </m:sub>
                </m:sSub>
                <m:r>
                  <w:rPr>
                    <w:rFonts w:ascii="Cambria Math" w:hAnsi="Cambria Math"/>
                  </w:rPr>
                  <m:t>+</m:t>
                </m:r>
                <m:sSubSup>
                  <m:sSubSupPr>
                    <m:ctrlPr>
                      <w:rPr>
                        <w:rFonts w:ascii="Cambria Math" w:hAnsi="Cambria Math"/>
                      </w:rPr>
                    </m:ctrlPr>
                  </m:sSubSupPr>
                  <m:e>
                    <m:r>
                      <w:rPr>
                        <w:rFonts w:ascii="Cambria Math" w:hAnsi="Cambria Math"/>
                      </w:rPr>
                      <m:t>ε</m:t>
                    </m:r>
                  </m:e>
                  <m:sub>
                    <m:r>
                      <w:rPr>
                        <w:rFonts w:ascii="Cambria Math" w:hAnsi="Cambria Math"/>
                      </w:rPr>
                      <m:t>i</m:t>
                    </m:r>
                  </m:sub>
                  <m:sup>
                    <m:r>
                      <w:rPr>
                        <w:rFonts w:ascii="Cambria Math" w:hAnsi="Cambria Math"/>
                      </w:rPr>
                      <m:t>C</m:t>
                    </m:r>
                  </m:sup>
                </m:sSubSup>
              </m:oMath>
            </m:oMathPara>
          </w:p>
        </w:tc>
        <w:tc>
          <w:tcPr>
            <w:tcW w:w="3071" w:type="dxa"/>
            <w:tcBorders>
              <w:top w:val="nil"/>
              <w:left w:val="nil"/>
              <w:bottom w:val="nil"/>
              <w:right w:val="nil"/>
            </w:tcBorders>
            <w:shd w:val="clear" w:color="auto" w:fill="auto"/>
          </w:tcPr>
          <w:p w:rsidR="0045676C" w:rsidRDefault="002E379A" w:rsidP="000354F9">
            <w:pPr>
              <w:spacing w:after="120" w:line="480" w:lineRule="auto"/>
              <w:jc w:val="right"/>
              <w:rPr>
                <w:rFonts w:ascii="Times New Roman" w:hAnsi="Times New Roman" w:cs="Times New Roman"/>
                <w:sz w:val="24"/>
                <w:szCs w:val="24"/>
                <w:lang w:val="en-GB"/>
              </w:rPr>
            </w:pPr>
            <w:r>
              <w:rPr>
                <w:rFonts w:ascii="Times New Roman" w:hAnsi="Times New Roman" w:cs="Times New Roman"/>
                <w:color w:val="00000A"/>
                <w:sz w:val="24"/>
                <w:szCs w:val="24"/>
                <w:lang w:val="en-GB"/>
              </w:rPr>
              <w:t>(5)</w:t>
            </w:r>
          </w:p>
        </w:tc>
      </w:tr>
      <w:tr w:rsidR="0045676C">
        <w:tc>
          <w:tcPr>
            <w:tcW w:w="2234" w:type="dxa"/>
            <w:tcBorders>
              <w:top w:val="nil"/>
              <w:left w:val="nil"/>
              <w:bottom w:val="nil"/>
              <w:right w:val="nil"/>
            </w:tcBorders>
            <w:shd w:val="clear" w:color="auto" w:fill="auto"/>
          </w:tcPr>
          <w:p w:rsidR="0045676C" w:rsidRDefault="0045676C" w:rsidP="000354F9">
            <w:pPr>
              <w:spacing w:after="120" w:line="480" w:lineRule="auto"/>
              <w:jc w:val="both"/>
              <w:rPr>
                <w:color w:val="00000A"/>
                <w:sz w:val="24"/>
                <w:szCs w:val="24"/>
              </w:rPr>
            </w:pPr>
          </w:p>
        </w:tc>
        <w:tc>
          <w:tcPr>
            <w:tcW w:w="3907" w:type="dxa"/>
            <w:tcBorders>
              <w:top w:val="nil"/>
              <w:left w:val="nil"/>
              <w:bottom w:val="nil"/>
              <w:right w:val="nil"/>
            </w:tcBorders>
            <w:shd w:val="clear" w:color="auto" w:fill="auto"/>
          </w:tcPr>
          <w:p w:rsidR="0045676C" w:rsidRDefault="00EF3F5A" w:rsidP="000354F9">
            <w:pPr>
              <w:spacing w:after="120" w:line="480" w:lineRule="auto"/>
              <w:jc w:val="both"/>
              <w:rPr>
                <w:rFonts w:ascii="Times New Roman" w:hAnsi="Times New Roman" w:cs="Times New Roman"/>
                <w:sz w:val="24"/>
                <w:szCs w:val="24"/>
                <w:lang w:val="en-GB"/>
              </w:rPr>
            </w:pPr>
            <m:oMathPara>
              <m:oMath>
                <m:sSubSup>
                  <m:sSubSupPr>
                    <m:ctrlPr>
                      <w:rPr>
                        <w:rFonts w:ascii="Cambria Math" w:hAnsi="Cambria Math"/>
                      </w:rPr>
                    </m:ctrlPr>
                  </m:sSubSupPr>
                  <m:e>
                    <m:r>
                      <w:rPr>
                        <w:rFonts w:ascii="Cambria Math" w:hAnsi="Cambria Math"/>
                      </w:rPr>
                      <m:t>WTP</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W</m:t>
                    </m:r>
                  </m:sup>
                </m:sSubSup>
                <m:sSub>
                  <m:sSubPr>
                    <m:ctrlPr>
                      <w:rPr>
                        <w:rFonts w:ascii="Cambria Math" w:hAnsi="Cambria Math"/>
                      </w:rPr>
                    </m:ctrlPr>
                  </m:sSubPr>
                  <m:e>
                    <m:r>
                      <w:rPr>
                        <w:rFonts w:ascii="Cambria Math" w:hAnsi="Cambria Math"/>
                      </w:rPr>
                      <m:t>β</m:t>
                    </m:r>
                  </m:e>
                  <m:sub>
                    <m:r>
                      <w:rPr>
                        <w:rFonts w:ascii="Cambria Math" w:hAnsi="Cambria Math"/>
                      </w:rPr>
                      <m:t>W</m:t>
                    </m:r>
                  </m:sub>
                </m:sSub>
                <m:r>
                  <w:rPr>
                    <w:rFonts w:ascii="Cambria Math" w:hAnsi="Cambria Math"/>
                  </w:rPr>
                  <m:t>+</m:t>
                </m:r>
                <m:sSubSup>
                  <m:sSubSupPr>
                    <m:ctrlPr>
                      <w:rPr>
                        <w:rFonts w:ascii="Cambria Math" w:hAnsi="Cambria Math"/>
                      </w:rPr>
                    </m:ctrlPr>
                  </m:sSubSupPr>
                  <m:e>
                    <m:r>
                      <w:rPr>
                        <w:rFonts w:ascii="Cambria Math" w:hAnsi="Cambria Math"/>
                      </w:rPr>
                      <m:t>ε</m:t>
                    </m:r>
                  </m:e>
                  <m:sub>
                    <m:r>
                      <w:rPr>
                        <w:rFonts w:ascii="Cambria Math" w:hAnsi="Cambria Math"/>
                      </w:rPr>
                      <m:t>i</m:t>
                    </m:r>
                  </m:sub>
                  <m:sup>
                    <m:r>
                      <w:rPr>
                        <w:rFonts w:ascii="Cambria Math" w:hAnsi="Cambria Math"/>
                      </w:rPr>
                      <m:t>W</m:t>
                    </m:r>
                  </m:sup>
                </m:sSubSup>
              </m:oMath>
            </m:oMathPara>
          </w:p>
        </w:tc>
        <w:tc>
          <w:tcPr>
            <w:tcW w:w="3071" w:type="dxa"/>
            <w:tcBorders>
              <w:top w:val="nil"/>
              <w:left w:val="nil"/>
              <w:bottom w:val="nil"/>
              <w:right w:val="nil"/>
            </w:tcBorders>
            <w:shd w:val="clear" w:color="auto" w:fill="auto"/>
          </w:tcPr>
          <w:p w:rsidR="0045676C" w:rsidRDefault="002E379A" w:rsidP="000354F9">
            <w:pPr>
              <w:spacing w:after="120" w:line="480" w:lineRule="auto"/>
              <w:jc w:val="right"/>
              <w:rPr>
                <w:rFonts w:ascii="Times New Roman" w:hAnsi="Times New Roman" w:cs="Times New Roman"/>
                <w:sz w:val="24"/>
                <w:szCs w:val="24"/>
                <w:lang w:val="en-GB"/>
              </w:rPr>
            </w:pPr>
            <w:r>
              <w:rPr>
                <w:rFonts w:ascii="Times New Roman" w:hAnsi="Times New Roman" w:cs="Times New Roman"/>
                <w:color w:val="00000A"/>
                <w:sz w:val="24"/>
                <w:szCs w:val="24"/>
                <w:lang w:val="en-GB"/>
              </w:rPr>
              <w:t>(6)</w:t>
            </w:r>
          </w:p>
        </w:tc>
      </w:tr>
    </w:tbl>
    <w:p w:rsidR="0045676C" w:rsidRDefault="002E379A" w:rsidP="000354F9">
      <w:pPr>
        <w:spacing w:after="12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subscript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refers to individuals, superscript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refers to the first equation of real choice, superscript </w:t>
      </w:r>
      <w:r>
        <w:rPr>
          <w:rFonts w:ascii="Times New Roman" w:eastAsia="Times New Roman" w:hAnsi="Times New Roman" w:cs="Times New Roman"/>
          <w:i/>
          <w:sz w:val="24"/>
          <w:szCs w:val="24"/>
        </w:rPr>
        <w:t xml:space="preserve">W </w:t>
      </w:r>
      <w:r>
        <w:rPr>
          <w:rFonts w:ascii="Times New Roman" w:eastAsia="Times New Roman" w:hAnsi="Times New Roman" w:cs="Times New Roman"/>
          <w:sz w:val="24"/>
          <w:szCs w:val="24"/>
        </w:rPr>
        <w:t xml:space="preserve">refers to the second equation of hypothetical WTP, </w:t>
      </w:r>
      <m:oMath>
        <m:sSubSup>
          <m:sSubSupPr>
            <m:ctrlPr>
              <w:rPr>
                <w:rFonts w:ascii="Cambria Math" w:hAnsi="Cambria Math"/>
                <w:sz w:val="24"/>
              </w:rPr>
            </m:ctrlPr>
          </m:sSubSupPr>
          <m:e>
            <m:r>
              <w:rPr>
                <w:rFonts w:ascii="Cambria Math" w:hAnsi="Cambria Math"/>
                <w:sz w:val="24"/>
              </w:rPr>
              <m:t>X</m:t>
            </m:r>
          </m:e>
          <m:sub>
            <m:r>
              <w:rPr>
                <w:rFonts w:ascii="Cambria Math" w:hAnsi="Cambria Math"/>
                <w:sz w:val="24"/>
              </w:rPr>
              <m:t>i</m:t>
            </m:r>
          </m:sub>
          <m:sup>
            <m:r>
              <w:rPr>
                <w:rFonts w:ascii="Cambria Math" w:hAnsi="Cambria Math"/>
                <w:sz w:val="24"/>
              </w:rPr>
              <m:t>C</m:t>
            </m:r>
          </m:sup>
        </m:sSubSup>
      </m:oMath>
      <w:r>
        <w:rPr>
          <w:rFonts w:ascii="Times New Roman" w:hAnsi="Times New Roman" w:cs="Times New Roman"/>
          <w:sz w:val="24"/>
          <w:szCs w:val="24"/>
          <w:lang w:val="en-GB"/>
        </w:rPr>
        <w:t xml:space="preserve"> and </w:t>
      </w:r>
      <m:oMath>
        <m:sSubSup>
          <m:sSubSupPr>
            <m:ctrlPr>
              <w:rPr>
                <w:rFonts w:ascii="Cambria Math" w:hAnsi="Cambria Math"/>
                <w:sz w:val="24"/>
              </w:rPr>
            </m:ctrlPr>
          </m:sSubSupPr>
          <m:e>
            <m:r>
              <w:rPr>
                <w:rFonts w:ascii="Cambria Math" w:hAnsi="Cambria Math"/>
                <w:sz w:val="24"/>
              </w:rPr>
              <m:t>X</m:t>
            </m:r>
          </m:e>
          <m:sub>
            <m:r>
              <w:rPr>
                <w:rFonts w:ascii="Cambria Math" w:hAnsi="Cambria Math"/>
                <w:sz w:val="24"/>
              </w:rPr>
              <m:t>i</m:t>
            </m:r>
          </m:sub>
          <m:sup>
            <m:r>
              <w:rPr>
                <w:rFonts w:ascii="Cambria Math" w:hAnsi="Cambria Math"/>
                <w:sz w:val="24"/>
              </w:rPr>
              <m:t>W</m:t>
            </m:r>
          </m:sup>
        </m:sSubSup>
      </m:oMath>
      <w:r>
        <w:rPr>
          <w:rFonts w:ascii="Times New Roman" w:eastAsia="Times New Roman" w:hAnsi="Times New Roman" w:cs="Times New Roman"/>
          <w:sz w:val="24"/>
          <w:szCs w:val="24"/>
        </w:rPr>
        <w:t xml:space="preserve"> are vectors of </w:t>
      </w:r>
      <w:r>
        <w:rPr>
          <w:rFonts w:ascii="Times New Roman" w:eastAsia="Times New Roman" w:hAnsi="Times New Roman" w:cs="Times New Roman"/>
          <w:sz w:val="24"/>
          <w:szCs w:val="24"/>
        </w:rPr>
        <w:lastRenderedPageBreak/>
        <w:t xml:space="preserve">exogenous variables, with the associated parameter vectors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C</m:t>
            </m:r>
          </m:sub>
        </m:sSub>
      </m:oMath>
      <w:r w:rsidRPr="009A4534">
        <w:rPr>
          <w:rFonts w:ascii="Times New Roman" w:eastAsia="Times New Roman" w:hAnsi="Times New Roman" w:cs="Times New Roman"/>
          <w:sz w:val="28"/>
          <w:szCs w:val="24"/>
        </w:rPr>
        <w:t xml:space="preserve"> </w:t>
      </w:r>
      <w:r w:rsidRPr="009A4534">
        <w:rPr>
          <w:rFonts w:ascii="Times New Roman" w:eastAsia="Times New Roman" w:hAnsi="Times New Roman" w:cs="Times New Roman"/>
          <w:sz w:val="24"/>
          <w:szCs w:val="24"/>
        </w:rPr>
        <w:t xml:space="preserve">and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W</m:t>
            </m:r>
          </m:sub>
        </m:sSub>
      </m:oMath>
      <w:r>
        <w:rPr>
          <w:rFonts w:ascii="Times New Roman" w:eastAsia="Times New Roman" w:hAnsi="Times New Roman" w:cs="Times New Roman"/>
          <w:sz w:val="24"/>
          <w:szCs w:val="24"/>
        </w:rPr>
        <w:t xml:space="preserve"> to be estimated. The vector of error terms </w:t>
      </w:r>
      <m:oMath>
        <m:d>
          <m:dPr>
            <m:ctrlPr>
              <w:rPr>
                <w:rFonts w:ascii="Cambria Math" w:hAnsi="Cambria Math"/>
                <w:sz w:val="24"/>
              </w:rPr>
            </m:ctrlPr>
          </m:dPr>
          <m:e>
            <m:sSubSup>
              <m:sSubSupPr>
                <m:ctrlPr>
                  <w:rPr>
                    <w:rFonts w:ascii="Cambria Math" w:hAnsi="Cambria Math"/>
                    <w:sz w:val="24"/>
                  </w:rPr>
                </m:ctrlPr>
              </m:sSubSupPr>
              <m:e>
                <m:r>
                  <w:rPr>
                    <w:rFonts w:ascii="Cambria Math" w:hAnsi="Cambria Math"/>
                    <w:sz w:val="24"/>
                  </w:rPr>
                  <m:t>ε</m:t>
                </m:r>
              </m:e>
              <m:sub>
                <m:r>
                  <w:rPr>
                    <w:rFonts w:ascii="Cambria Math" w:hAnsi="Cambria Math"/>
                    <w:sz w:val="24"/>
                  </w:rPr>
                  <m:t>i</m:t>
                </m:r>
              </m:sub>
              <m:sup>
                <m:r>
                  <w:rPr>
                    <w:rFonts w:ascii="Cambria Math" w:hAnsi="Cambria Math"/>
                    <w:sz w:val="24"/>
                  </w:rPr>
                  <m:t>C</m:t>
                </m:r>
              </m:sup>
            </m:sSubSup>
            <m:r>
              <w:rPr>
                <w:rFonts w:ascii="Cambria Math" w:hAnsi="Cambria Math"/>
                <w:sz w:val="24"/>
              </w:rPr>
              <m:t>,</m:t>
            </m:r>
            <m:sSubSup>
              <m:sSubSupPr>
                <m:ctrlPr>
                  <w:rPr>
                    <w:rFonts w:ascii="Cambria Math" w:hAnsi="Cambria Math"/>
                    <w:sz w:val="24"/>
                  </w:rPr>
                </m:ctrlPr>
              </m:sSubSupPr>
              <m:e>
                <m:r>
                  <w:rPr>
                    <w:rFonts w:ascii="Cambria Math" w:hAnsi="Cambria Math"/>
                    <w:sz w:val="24"/>
                  </w:rPr>
                  <m:t>ε</m:t>
                </m:r>
              </m:e>
              <m:sub>
                <m:r>
                  <w:rPr>
                    <w:rFonts w:ascii="Cambria Math" w:hAnsi="Cambria Math"/>
                    <w:sz w:val="24"/>
                  </w:rPr>
                  <m:t>i</m:t>
                </m:r>
              </m:sub>
              <m:sup>
                <m:r>
                  <w:rPr>
                    <w:rFonts w:ascii="Cambria Math" w:hAnsi="Cambria Math"/>
                    <w:sz w:val="24"/>
                  </w:rPr>
                  <m:t>W</m:t>
                </m:r>
              </m:sup>
            </m:sSubSup>
          </m:e>
        </m:d>
      </m:oMath>
      <w:r>
        <w:rPr>
          <w:rFonts w:ascii="Times New Roman" w:eastAsia="Times New Roman" w:hAnsi="Times New Roman" w:cs="Times New Roman"/>
          <w:sz w:val="24"/>
          <w:szCs w:val="24"/>
        </w:rPr>
        <w:t xml:space="preserve"> follows a bivariate normal distribution whose correlation coefficient is </w:t>
      </w:r>
      <w:r w:rsidR="00E6779C">
        <w:rPr>
          <w:rFonts w:ascii="Times New Roman" w:eastAsia="Times New Roman" w:hAnsi="Times New Roman" w:cs="Times New Roman"/>
          <w:sz w:val="24"/>
          <w:szCs w:val="24"/>
        </w:rPr>
        <w:t xml:space="preserve">denoted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CW</m:t>
            </m:r>
          </m:sub>
        </m:sSub>
      </m:oMath>
      <w:r w:rsidR="00E6779C">
        <w:rPr>
          <w:rFonts w:ascii="Times New Roman" w:hAnsi="Times New Roman" w:cs="Times New Roman"/>
          <w:sz w:val="24"/>
          <w:szCs w:val="24"/>
          <w:lang w:val="en-GB"/>
        </w:rPr>
        <w:t xml:space="preserve"> </w:t>
      </w:r>
      <w:proofErr w:type="gramStart"/>
      <w:r w:rsidR="00E6779C">
        <w:rPr>
          <w:rFonts w:ascii="Times New Roman" w:hAnsi="Times New Roman" w:cs="Times New Roman"/>
          <w:sz w:val="24"/>
          <w:szCs w:val="24"/>
          <w:lang w:val="en-GB"/>
        </w:rPr>
        <w:t xml:space="preserve">and </w:t>
      </w:r>
      <w:proofErr w:type="gramEnd"/>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Var(ε</m:t>
            </m:r>
          </m:e>
          <m:sub>
            <m:r>
              <w:rPr>
                <w:rFonts w:ascii="Cambria Math" w:hAnsi="Cambria Math" w:cs="Times New Roman"/>
                <w:sz w:val="24"/>
                <w:szCs w:val="24"/>
                <w:lang w:val="en-GB"/>
              </w:rPr>
              <m:t>i</m:t>
            </m:r>
          </m:sub>
          <m:sup>
            <m:r>
              <w:rPr>
                <w:rFonts w:ascii="Cambria Math" w:hAnsi="Cambria Math" w:cs="Times New Roman"/>
                <w:sz w:val="24"/>
                <w:szCs w:val="24"/>
                <w:lang w:val="en-GB"/>
              </w:rPr>
              <m:t>W</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W</m:t>
            </m:r>
          </m:sub>
          <m:sup>
            <m:r>
              <w:rPr>
                <w:rFonts w:ascii="Cambria Math" w:hAnsi="Cambria Math" w:cs="Times New Roman"/>
                <w:sz w:val="24"/>
                <w:szCs w:val="24"/>
                <w:lang w:val="en-GB"/>
              </w:rPr>
              <m:t>2</m:t>
            </m:r>
          </m:sup>
        </m:sSubSup>
      </m:oMath>
      <w:r>
        <w:rPr>
          <w:rFonts w:ascii="Times New Roman" w:eastAsia="Times New Roman" w:hAnsi="Times New Roman" w:cs="Times New Roman"/>
          <w:sz w:val="24"/>
          <w:szCs w:val="24"/>
        </w:rPr>
        <w:t xml:space="preserve">. The variance of </w:t>
      </w:r>
      <m:oMath>
        <m:sSubSup>
          <m:sSubSupPr>
            <m:ctrlPr>
              <w:rPr>
                <w:rFonts w:ascii="Cambria Math" w:hAnsi="Cambria Math"/>
              </w:rPr>
            </m:ctrlPr>
          </m:sSubSupPr>
          <m:e>
            <m:r>
              <w:rPr>
                <w:rFonts w:ascii="Cambria Math" w:hAnsi="Cambria Math"/>
              </w:rPr>
              <m:t>ε</m:t>
            </m:r>
          </m:e>
          <m:sub>
            <m:r>
              <w:rPr>
                <w:rFonts w:ascii="Cambria Math" w:hAnsi="Cambria Math"/>
              </w:rPr>
              <m:t>i</m:t>
            </m:r>
          </m:sub>
          <m:sup>
            <m:r>
              <w:rPr>
                <w:rFonts w:ascii="Cambria Math" w:hAnsi="Cambria Math"/>
              </w:rPr>
              <m:t>C</m:t>
            </m:r>
          </m:sup>
        </m:sSubSup>
      </m:oMath>
      <w:r>
        <w:rPr>
          <w:rFonts w:ascii="Times New Roman" w:eastAsia="Times New Roman" w:hAnsi="Times New Roman" w:cs="Times New Roman"/>
          <w:sz w:val="24"/>
          <w:szCs w:val="24"/>
        </w:rPr>
        <w:t xml:space="preserve"> is normalized to 1 for identification purpose. The empirical counterparts of the latent variables are defined by: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26"/>
        <w:gridCol w:w="1559"/>
        <w:gridCol w:w="3969"/>
        <w:gridCol w:w="675"/>
      </w:tblGrid>
      <w:tr w:rsidR="00BF2153" w:rsidRPr="00F67770" w:rsidTr="00D5448A">
        <w:tc>
          <w:tcPr>
            <w:tcW w:w="959" w:type="dxa"/>
          </w:tcPr>
          <w:p w:rsidR="00BF2153" w:rsidRDefault="00BF2153" w:rsidP="000354F9">
            <w:pPr>
              <w:spacing w:after="120" w:line="480" w:lineRule="auto"/>
              <w:rPr>
                <w:rFonts w:ascii="Times New Roman" w:hAnsi="Times New Roman" w:cs="Times New Roman"/>
                <w:sz w:val="24"/>
                <w:szCs w:val="24"/>
                <w:lang w:val="en-GB"/>
              </w:rPr>
            </w:pPr>
          </w:p>
        </w:tc>
        <w:tc>
          <w:tcPr>
            <w:tcW w:w="2126" w:type="dxa"/>
          </w:tcPr>
          <w:p w:rsidR="00BF2153" w:rsidRPr="007F3D72" w:rsidRDefault="00EF3F5A" w:rsidP="000354F9">
            <w:pPr>
              <w:spacing w:after="120" w:line="480" w:lineRule="auto"/>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IC</m:t>
                    </m:r>
                  </m:e>
                  <m:sub>
                    <m:r>
                      <w:rPr>
                        <w:rFonts w:ascii="Cambria Math" w:hAnsi="Cambria Math" w:cs="Times New Roman"/>
                        <w:sz w:val="24"/>
                        <w:szCs w:val="24"/>
                        <w:lang w:val="en-GB"/>
                      </w:rPr>
                      <m:t>i</m:t>
                    </m:r>
                  </m:sub>
                </m:sSub>
                <m:r>
                  <w:rPr>
                    <w:rFonts w:ascii="Cambria Math" w:hAnsi="Cambria Math" w:cs="Times New Roman"/>
                    <w:sz w:val="24"/>
                    <w:szCs w:val="24"/>
                    <w:lang w:val="en-GB"/>
                  </w:rPr>
                  <m:t xml:space="preserve">=1 </m:t>
                </m:r>
              </m:oMath>
            </m:oMathPara>
          </w:p>
        </w:tc>
        <w:tc>
          <w:tcPr>
            <w:tcW w:w="1559" w:type="dxa"/>
          </w:tcPr>
          <w:p w:rsidR="00BF2153" w:rsidRPr="00A6099A" w:rsidRDefault="00BF2153" w:rsidP="000354F9">
            <w:pPr>
              <w:spacing w:after="120" w:line="480" w:lineRule="auto"/>
              <w:rPr>
                <w:rFonts w:ascii="Times New Roman" w:hAnsi="Times New Roman" w:cs="Times New Roman"/>
                <w:sz w:val="24"/>
                <w:szCs w:val="24"/>
                <w:lang w:val="en-GB"/>
              </w:rPr>
            </w:pPr>
            <m:oMathPara>
              <m:oMathParaPr>
                <m:jc m:val="left"/>
              </m:oMathParaPr>
              <m:oMath>
                <m:r>
                  <m:rPr>
                    <m:sty m:val="p"/>
                  </m:rPr>
                  <w:rPr>
                    <w:rFonts w:ascii="Cambria Math" w:hAnsi="Cambria Math" w:cs="Times New Roman"/>
                    <w:sz w:val="24"/>
                    <w:szCs w:val="24"/>
                    <w:lang w:val="en-GB"/>
                  </w:rPr>
                  <m:t>if</m:t>
                </m:r>
                <m: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IC</m:t>
                    </m:r>
                  </m:e>
                  <m:sub>
                    <m:r>
                      <w:rPr>
                        <w:rFonts w:ascii="Cambria Math" w:hAnsi="Cambria Math" w:cs="Times New Roman"/>
                        <w:sz w:val="24"/>
                        <w:szCs w:val="24"/>
                        <w:lang w:val="en-GB"/>
                      </w:rPr>
                      <m:t>i</m:t>
                    </m:r>
                  </m:sub>
                  <m:sup>
                    <m:r>
                      <w:rPr>
                        <w:rFonts w:ascii="Cambria Math" w:hAnsi="Cambria Math" w:cs="Times New Roman"/>
                        <w:sz w:val="24"/>
                        <w:szCs w:val="24"/>
                        <w:lang w:val="en-GB"/>
                      </w:rPr>
                      <m:t>*</m:t>
                    </m:r>
                  </m:sup>
                </m:sSubSup>
                <m:r>
                  <w:rPr>
                    <w:rFonts w:ascii="Cambria Math" w:hAnsi="Cambria Math" w:cs="Times New Roman"/>
                    <w:sz w:val="24"/>
                    <w:szCs w:val="24"/>
                    <w:lang w:val="en-GB"/>
                  </w:rPr>
                  <m:t>&gt;0</m:t>
                </m:r>
              </m:oMath>
            </m:oMathPara>
          </w:p>
        </w:tc>
        <w:tc>
          <w:tcPr>
            <w:tcW w:w="3969" w:type="dxa"/>
          </w:tcPr>
          <w:p w:rsidR="00BF2153" w:rsidRPr="00A6099A" w:rsidRDefault="00BF2153" w:rsidP="000354F9">
            <w:pPr>
              <w:spacing w:after="120" w:line="480" w:lineRule="auto"/>
              <w:rPr>
                <w:rFonts w:ascii="Times New Roman" w:hAnsi="Times New Roman" w:cs="Times New Roman"/>
                <w:sz w:val="24"/>
                <w:szCs w:val="24"/>
                <w:lang w:val="en-GB"/>
              </w:rPr>
            </w:pPr>
            <m:oMath>
              <m:r>
                <m:rPr>
                  <m:sty m:val="p"/>
                </m:rPr>
                <w:rPr>
                  <w:rFonts w:ascii="Cambria Math" w:hAnsi="Cambria Math" w:cs="Times New Roman"/>
                  <w:sz w:val="24"/>
                  <w:szCs w:val="24"/>
                  <w:lang w:val="en-GB"/>
                </w:rPr>
                <m:t>and</m:t>
              </m:r>
              <m:r>
                <w:rPr>
                  <w:rFonts w:ascii="Cambria Math" w:hAnsi="Cambria Math" w:cs="Times New Roman"/>
                  <w:sz w:val="24"/>
                  <w:szCs w:val="24"/>
                  <w:lang w:val="en-GB"/>
                </w:rPr>
                <m:t xml:space="preserve"> 0 </m:t>
              </m:r>
              <m:r>
                <m:rPr>
                  <m:sty m:val="p"/>
                </m:rPr>
                <w:rPr>
                  <w:rFonts w:ascii="Cambria Math" w:hAnsi="Cambria Math" w:cs="Times New Roman"/>
                  <w:sz w:val="24"/>
                  <w:szCs w:val="24"/>
                  <w:lang w:val="en-GB"/>
                </w:rPr>
                <m:t>otherwise</m:t>
              </m:r>
            </m:oMath>
            <w:r>
              <w:rPr>
                <w:rFonts w:ascii="Times New Roman" w:hAnsi="Times New Roman" w:cs="Times New Roman"/>
                <w:sz w:val="24"/>
                <w:szCs w:val="24"/>
                <w:lang w:val="en-GB"/>
              </w:rPr>
              <w:t xml:space="preserve"> </w:t>
            </w:r>
            <w:r w:rsidRPr="00EA7A90">
              <w:rPr>
                <w:rFonts w:ascii="Times New Roman" w:hAnsi="Times New Roman" w:cs="Times New Roman"/>
                <w:sz w:val="24"/>
                <w:szCs w:val="24"/>
                <w:lang w:val="en-GB"/>
              </w:rPr>
              <w:t>(0 for not insured)</w:t>
            </w:r>
          </w:p>
        </w:tc>
        <w:tc>
          <w:tcPr>
            <w:tcW w:w="675" w:type="dxa"/>
          </w:tcPr>
          <w:p w:rsidR="00BF2153" w:rsidRDefault="00BF2153" w:rsidP="000354F9">
            <w:pPr>
              <w:spacing w:after="120" w:line="480" w:lineRule="auto"/>
              <w:rPr>
                <w:rFonts w:ascii="Times New Roman" w:hAnsi="Times New Roman" w:cs="Times New Roman"/>
                <w:sz w:val="24"/>
                <w:szCs w:val="24"/>
                <w:lang w:val="en-GB"/>
              </w:rPr>
            </w:pPr>
          </w:p>
        </w:tc>
      </w:tr>
      <w:tr w:rsidR="00BF2153" w:rsidTr="00D5448A">
        <w:tc>
          <w:tcPr>
            <w:tcW w:w="959" w:type="dxa"/>
          </w:tcPr>
          <w:p w:rsidR="00BF2153" w:rsidRDefault="00BF2153" w:rsidP="000354F9">
            <w:pPr>
              <w:spacing w:after="120" w:line="480" w:lineRule="auto"/>
              <w:rPr>
                <w:rFonts w:ascii="Times New Roman" w:hAnsi="Times New Roman" w:cs="Times New Roman"/>
                <w:sz w:val="24"/>
                <w:szCs w:val="24"/>
                <w:lang w:val="en-GB"/>
              </w:rPr>
            </w:pPr>
          </w:p>
        </w:tc>
        <w:tc>
          <w:tcPr>
            <w:tcW w:w="2126" w:type="dxa"/>
          </w:tcPr>
          <w:p w:rsidR="00BF2153" w:rsidRPr="00A6099A" w:rsidRDefault="00EF3F5A" w:rsidP="000354F9">
            <w:pPr>
              <w:spacing w:after="120" w:line="480" w:lineRule="auto"/>
              <w:rPr>
                <w:rFonts w:ascii="Times New Roman" w:hAnsi="Times New Roman" w:cs="Times New Roman"/>
                <w:sz w:val="24"/>
                <w:szCs w:val="24"/>
                <w:lang w:val="en-GB"/>
              </w:rPr>
            </w:pPr>
            <m:oMathPara>
              <m:oMathParaPr>
                <m:jc m:val="left"/>
              </m:oMathPara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WTP</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WTP</m:t>
                    </m:r>
                  </m:e>
                  <m:sub>
                    <m:r>
                      <w:rPr>
                        <w:rFonts w:ascii="Cambria Math" w:hAnsi="Cambria Math" w:cs="Times New Roman"/>
                        <w:sz w:val="24"/>
                        <w:szCs w:val="24"/>
                        <w:lang w:val="en-GB"/>
                      </w:rPr>
                      <m:t>i</m:t>
                    </m:r>
                  </m:sub>
                  <m:sup>
                    <m:r>
                      <w:rPr>
                        <w:rFonts w:ascii="Cambria Math" w:hAnsi="Cambria Math" w:cs="Times New Roman"/>
                        <w:sz w:val="24"/>
                        <w:szCs w:val="24"/>
                        <w:lang w:val="en-GB"/>
                      </w:rPr>
                      <m:t>*</m:t>
                    </m:r>
                  </m:sup>
                </m:sSubSup>
              </m:oMath>
            </m:oMathPara>
          </w:p>
        </w:tc>
        <w:tc>
          <w:tcPr>
            <w:tcW w:w="1559" w:type="dxa"/>
          </w:tcPr>
          <w:p w:rsidR="00BF2153" w:rsidRPr="00A6099A" w:rsidRDefault="00BF2153" w:rsidP="000354F9">
            <w:pPr>
              <w:spacing w:after="120" w:line="480" w:lineRule="auto"/>
              <w:rPr>
                <w:rFonts w:ascii="Times New Roman" w:hAnsi="Times New Roman" w:cs="Times New Roman"/>
                <w:sz w:val="24"/>
                <w:szCs w:val="24"/>
                <w:lang w:val="en-GB"/>
              </w:rPr>
            </w:pPr>
            <m:oMathPara>
              <m:oMathParaPr>
                <m:jc m:val="left"/>
              </m:oMathParaPr>
              <m:oMath>
                <m:r>
                  <m:rPr>
                    <m:sty m:val="p"/>
                  </m:rPr>
                  <w:rPr>
                    <w:rFonts w:ascii="Cambria Math" w:hAnsi="Cambria Math" w:cs="Times New Roman"/>
                    <w:sz w:val="24"/>
                    <w:szCs w:val="24"/>
                    <w:lang w:val="en-GB"/>
                  </w:rPr>
                  <m:t>if</m:t>
                </m:r>
                <m:r>
                  <w:rPr>
                    <w:rFonts w:ascii="Cambria Math" w:hAnsi="Cambria Math" w:cs="Times New Roman"/>
                    <w:sz w:val="24"/>
                    <w:szCs w:val="24"/>
                    <w:lang w:val="en-GB"/>
                  </w:rPr>
                  <m:t xml:space="preserve"> </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WTP</m:t>
                    </m:r>
                  </m:e>
                  <m:sub>
                    <m:r>
                      <w:rPr>
                        <w:rFonts w:ascii="Cambria Math" w:hAnsi="Cambria Math" w:cs="Times New Roman"/>
                        <w:sz w:val="24"/>
                        <w:szCs w:val="24"/>
                        <w:lang w:val="en-GB"/>
                      </w:rPr>
                      <m:t>i</m:t>
                    </m:r>
                  </m:sub>
                  <m:sup>
                    <m:r>
                      <w:rPr>
                        <w:rFonts w:ascii="Cambria Math" w:hAnsi="Cambria Math" w:cs="Times New Roman"/>
                        <w:sz w:val="24"/>
                        <w:szCs w:val="24"/>
                        <w:lang w:val="en-GB"/>
                      </w:rPr>
                      <m:t>*</m:t>
                    </m:r>
                  </m:sup>
                </m:sSubSup>
                <m:r>
                  <w:rPr>
                    <w:rFonts w:ascii="Cambria Math" w:hAnsi="Cambria Math" w:cs="Times New Roman"/>
                    <w:sz w:val="24"/>
                    <w:szCs w:val="24"/>
                    <w:lang w:val="en-GB"/>
                  </w:rPr>
                  <m:t>&gt;0</m:t>
                </m:r>
              </m:oMath>
            </m:oMathPara>
          </w:p>
        </w:tc>
        <w:tc>
          <w:tcPr>
            <w:tcW w:w="3969" w:type="dxa"/>
          </w:tcPr>
          <w:p w:rsidR="00BF2153" w:rsidRPr="00A6099A" w:rsidRDefault="00BF2153" w:rsidP="000354F9">
            <w:pPr>
              <w:spacing w:after="120" w:line="480" w:lineRule="auto"/>
              <w:rPr>
                <w:rFonts w:ascii="Times New Roman" w:hAnsi="Times New Roman" w:cs="Times New Roman"/>
                <w:sz w:val="24"/>
                <w:szCs w:val="24"/>
                <w:lang w:val="en-GB"/>
              </w:rPr>
            </w:pPr>
            <m:oMathPara>
              <m:oMathParaPr>
                <m:jc m:val="left"/>
              </m:oMathParaPr>
              <m:oMath>
                <m:r>
                  <m:rPr>
                    <m:sty m:val="p"/>
                  </m:rPr>
                  <w:rPr>
                    <w:rFonts w:ascii="Cambria Math" w:hAnsi="Cambria Math" w:cs="Times New Roman"/>
                    <w:sz w:val="24"/>
                    <w:szCs w:val="24"/>
                    <w:lang w:val="en-GB"/>
                  </w:rPr>
                  <m:t>and</m:t>
                </m:r>
                <m:r>
                  <w:rPr>
                    <w:rFonts w:ascii="Cambria Math" w:hAnsi="Cambria Math" w:cs="Times New Roman"/>
                    <w:sz w:val="24"/>
                    <w:szCs w:val="24"/>
                    <w:lang w:val="en-GB"/>
                  </w:rPr>
                  <m:t xml:space="preserve"> 0 </m:t>
                </m:r>
                <m:r>
                  <m:rPr>
                    <m:sty m:val="p"/>
                  </m:rPr>
                  <w:rPr>
                    <w:rFonts w:ascii="Cambria Math" w:hAnsi="Cambria Math" w:cs="Times New Roman"/>
                    <w:sz w:val="24"/>
                    <w:szCs w:val="24"/>
                    <w:lang w:val="en-GB"/>
                  </w:rPr>
                  <m:t>otherwise</m:t>
                </m:r>
              </m:oMath>
            </m:oMathPara>
          </w:p>
        </w:tc>
        <w:tc>
          <w:tcPr>
            <w:tcW w:w="675" w:type="dxa"/>
          </w:tcPr>
          <w:p w:rsidR="00BF2153" w:rsidRDefault="00BF2153" w:rsidP="000354F9">
            <w:pPr>
              <w:spacing w:after="120" w:line="480" w:lineRule="auto"/>
              <w:rPr>
                <w:rFonts w:ascii="Times New Roman" w:hAnsi="Times New Roman" w:cs="Times New Roman"/>
                <w:sz w:val="24"/>
                <w:szCs w:val="24"/>
                <w:lang w:val="en-GB"/>
              </w:rPr>
            </w:pPr>
          </w:p>
        </w:tc>
      </w:tr>
    </w:tbl>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model we explain the zero values obtained in stated WTP by the means of a selection equation. The model is the following:</w:t>
      </w:r>
    </w:p>
    <w:tbl>
      <w:tblPr>
        <w:tblStyle w:val="Grilledutableau"/>
        <w:tblW w:w="9212" w:type="dxa"/>
        <w:tblInd w:w="-108" w:type="dxa"/>
        <w:tblCellMar>
          <w:left w:w="0" w:type="dxa"/>
          <w:right w:w="0" w:type="dxa"/>
        </w:tblCellMar>
        <w:tblLook w:val="04A0" w:firstRow="1" w:lastRow="0" w:firstColumn="1" w:lastColumn="0" w:noHBand="0" w:noVBand="1"/>
      </w:tblPr>
      <w:tblGrid>
        <w:gridCol w:w="2234"/>
        <w:gridCol w:w="3907"/>
        <w:gridCol w:w="3071"/>
      </w:tblGrid>
      <w:tr w:rsidR="0045676C">
        <w:tc>
          <w:tcPr>
            <w:tcW w:w="2234" w:type="dxa"/>
            <w:tcBorders>
              <w:top w:val="nil"/>
              <w:left w:val="nil"/>
              <w:bottom w:val="nil"/>
              <w:right w:val="nil"/>
            </w:tcBorders>
            <w:shd w:val="clear" w:color="auto" w:fill="auto"/>
          </w:tcPr>
          <w:p w:rsidR="0045676C" w:rsidRPr="00E6779C" w:rsidRDefault="0045676C" w:rsidP="000354F9">
            <w:pPr>
              <w:spacing w:after="120" w:line="480" w:lineRule="auto"/>
              <w:rPr>
                <w:color w:val="00000A"/>
                <w:sz w:val="24"/>
                <w:szCs w:val="24"/>
              </w:rPr>
            </w:pPr>
          </w:p>
        </w:tc>
        <w:tc>
          <w:tcPr>
            <w:tcW w:w="3907" w:type="dxa"/>
            <w:tcBorders>
              <w:top w:val="nil"/>
              <w:left w:val="nil"/>
              <w:bottom w:val="nil"/>
              <w:right w:val="nil"/>
            </w:tcBorders>
            <w:shd w:val="clear" w:color="auto" w:fill="auto"/>
          </w:tcPr>
          <w:p w:rsidR="0045676C" w:rsidRDefault="00EF3F5A" w:rsidP="000354F9">
            <w:pPr>
              <w:spacing w:after="120" w:line="480" w:lineRule="auto"/>
              <w:rPr>
                <w:rFonts w:ascii="Times New Roman" w:hAnsi="Times New Roman" w:cs="Times New Roman"/>
                <w:sz w:val="24"/>
                <w:szCs w:val="24"/>
                <w:lang w:val="en-GB"/>
              </w:rPr>
            </w:pPr>
            <m:oMathPara>
              <m:oMath>
                <m:sSubSup>
                  <m:sSubSupPr>
                    <m:ctrlPr>
                      <w:rPr>
                        <w:rFonts w:ascii="Cambria Math" w:hAnsi="Cambria Math"/>
                        <w:sz w:val="24"/>
                      </w:rPr>
                    </m:ctrlPr>
                  </m:sSubSupPr>
                  <m:e>
                    <m:r>
                      <w:rPr>
                        <w:rFonts w:ascii="Cambria Math" w:hAnsi="Cambria Math"/>
                        <w:sz w:val="24"/>
                      </w:rPr>
                      <m:t>IC</m:t>
                    </m:r>
                  </m:e>
                  <m:sub>
                    <m:r>
                      <w:rPr>
                        <w:rFonts w:ascii="Cambria Math" w:hAnsi="Cambria Math"/>
                        <w:sz w:val="24"/>
                      </w:rPr>
                      <m:t>i</m:t>
                    </m:r>
                  </m:sub>
                  <m:sup>
                    <m:r>
                      <w:rPr>
                        <w:rFonts w:ascii="Cambria Math" w:hAnsi="Cambria Math"/>
                        <w:sz w:val="24"/>
                      </w:rPr>
                      <m:t>*</m:t>
                    </m:r>
                  </m:sup>
                </m:sSubSup>
                <m:r>
                  <w:rPr>
                    <w:rFonts w:ascii="Cambria Math" w:hAnsi="Cambria Math"/>
                    <w:sz w:val="24"/>
                  </w:rPr>
                  <m:t>=</m:t>
                </m:r>
                <m:sSubSup>
                  <m:sSubSupPr>
                    <m:ctrlPr>
                      <w:rPr>
                        <w:rFonts w:ascii="Cambria Math" w:hAnsi="Cambria Math"/>
                        <w:sz w:val="24"/>
                      </w:rPr>
                    </m:ctrlPr>
                  </m:sSubSupPr>
                  <m:e>
                    <m:r>
                      <w:rPr>
                        <w:rFonts w:ascii="Cambria Math" w:hAnsi="Cambria Math"/>
                        <w:sz w:val="24"/>
                      </w:rPr>
                      <m:t>X</m:t>
                    </m:r>
                  </m:e>
                  <m:sub>
                    <m:r>
                      <w:rPr>
                        <w:rFonts w:ascii="Cambria Math" w:hAnsi="Cambria Math"/>
                        <w:sz w:val="24"/>
                      </w:rPr>
                      <m:t>i</m:t>
                    </m:r>
                  </m:sub>
                  <m:sup>
                    <m:r>
                      <w:rPr>
                        <w:rFonts w:ascii="Cambria Math" w:hAnsi="Cambria Math"/>
                        <w:sz w:val="24"/>
                      </w:rPr>
                      <m:t>C</m:t>
                    </m:r>
                  </m:sup>
                </m:sSubSup>
                <m:sSub>
                  <m:sSubPr>
                    <m:ctrlPr>
                      <w:rPr>
                        <w:rFonts w:ascii="Cambria Math" w:hAnsi="Cambria Math"/>
                        <w:sz w:val="24"/>
                      </w:rPr>
                    </m:ctrlPr>
                  </m:sSubPr>
                  <m:e>
                    <m:r>
                      <w:rPr>
                        <w:rFonts w:ascii="Cambria Math" w:hAnsi="Cambria Math"/>
                        <w:sz w:val="24"/>
                      </w:rPr>
                      <m:t>β</m:t>
                    </m:r>
                  </m:e>
                  <m:sub>
                    <m:r>
                      <w:rPr>
                        <w:rFonts w:ascii="Cambria Math" w:hAnsi="Cambria Math"/>
                        <w:sz w:val="24"/>
                      </w:rPr>
                      <m:t>C</m:t>
                    </m:r>
                  </m:sub>
                </m:sSub>
                <m:r>
                  <w:rPr>
                    <w:rFonts w:ascii="Cambria Math" w:hAnsi="Cambria Math"/>
                    <w:sz w:val="24"/>
                  </w:rPr>
                  <m:t>+</m:t>
                </m:r>
                <m:sSubSup>
                  <m:sSubSupPr>
                    <m:ctrlPr>
                      <w:rPr>
                        <w:rFonts w:ascii="Cambria Math" w:hAnsi="Cambria Math"/>
                        <w:sz w:val="24"/>
                      </w:rPr>
                    </m:ctrlPr>
                  </m:sSubSupPr>
                  <m:e>
                    <m:r>
                      <w:rPr>
                        <w:rFonts w:ascii="Cambria Math" w:hAnsi="Cambria Math"/>
                        <w:sz w:val="24"/>
                      </w:rPr>
                      <m:t>ε</m:t>
                    </m:r>
                  </m:e>
                  <m:sub>
                    <m:r>
                      <w:rPr>
                        <w:rFonts w:ascii="Cambria Math" w:hAnsi="Cambria Math"/>
                        <w:sz w:val="24"/>
                      </w:rPr>
                      <m:t>i</m:t>
                    </m:r>
                  </m:sub>
                  <m:sup>
                    <m:r>
                      <w:rPr>
                        <w:rFonts w:ascii="Cambria Math" w:hAnsi="Cambria Math"/>
                        <w:sz w:val="24"/>
                      </w:rPr>
                      <m:t>C</m:t>
                    </m:r>
                  </m:sup>
                </m:sSubSup>
              </m:oMath>
            </m:oMathPara>
          </w:p>
        </w:tc>
        <w:tc>
          <w:tcPr>
            <w:tcW w:w="3071" w:type="dxa"/>
            <w:tcBorders>
              <w:top w:val="nil"/>
              <w:left w:val="nil"/>
              <w:bottom w:val="nil"/>
              <w:right w:val="nil"/>
            </w:tcBorders>
            <w:shd w:val="clear" w:color="auto" w:fill="auto"/>
          </w:tcPr>
          <w:p w:rsidR="0045676C" w:rsidRDefault="002E379A" w:rsidP="000354F9">
            <w:pPr>
              <w:spacing w:after="120" w:line="480" w:lineRule="auto"/>
              <w:jc w:val="right"/>
              <w:rPr>
                <w:rFonts w:ascii="Times New Roman" w:hAnsi="Times New Roman" w:cs="Times New Roman"/>
                <w:sz w:val="24"/>
                <w:szCs w:val="24"/>
                <w:lang w:val="en-GB"/>
              </w:rPr>
            </w:pPr>
            <w:r>
              <w:rPr>
                <w:rFonts w:ascii="Times New Roman" w:hAnsi="Times New Roman" w:cs="Times New Roman"/>
                <w:color w:val="00000A"/>
                <w:sz w:val="24"/>
                <w:szCs w:val="24"/>
                <w:lang w:val="en-GB"/>
              </w:rPr>
              <w:t>(7)</w:t>
            </w:r>
          </w:p>
        </w:tc>
      </w:tr>
      <w:tr w:rsidR="0045676C">
        <w:tc>
          <w:tcPr>
            <w:tcW w:w="2234" w:type="dxa"/>
            <w:tcBorders>
              <w:top w:val="nil"/>
              <w:left w:val="nil"/>
              <w:bottom w:val="nil"/>
              <w:right w:val="nil"/>
            </w:tcBorders>
            <w:shd w:val="clear" w:color="auto" w:fill="auto"/>
          </w:tcPr>
          <w:p w:rsidR="0045676C" w:rsidRDefault="0045676C" w:rsidP="000354F9">
            <w:pPr>
              <w:spacing w:after="120" w:line="480" w:lineRule="auto"/>
              <w:rPr>
                <w:color w:val="00000A"/>
                <w:sz w:val="24"/>
                <w:szCs w:val="24"/>
              </w:rPr>
            </w:pPr>
          </w:p>
        </w:tc>
        <w:tc>
          <w:tcPr>
            <w:tcW w:w="3907" w:type="dxa"/>
            <w:tcBorders>
              <w:top w:val="nil"/>
              <w:left w:val="nil"/>
              <w:bottom w:val="nil"/>
              <w:right w:val="nil"/>
            </w:tcBorders>
            <w:shd w:val="clear" w:color="auto" w:fill="auto"/>
          </w:tcPr>
          <w:p w:rsidR="0045676C" w:rsidRDefault="00EF3F5A" w:rsidP="000354F9">
            <w:pPr>
              <w:spacing w:after="120" w:line="480" w:lineRule="auto"/>
              <w:rPr>
                <w:rFonts w:ascii="Times New Roman" w:eastAsia="Times New Roman" w:hAnsi="Times New Roman" w:cs="Times New Roman"/>
                <w:sz w:val="24"/>
                <w:szCs w:val="24"/>
                <w:lang w:val="en-GB"/>
              </w:rPr>
            </w:pPr>
            <m:oMathPara>
              <m:oMath>
                <m:sSubSup>
                  <m:sSubSupPr>
                    <m:ctrlPr>
                      <w:rPr>
                        <w:rFonts w:ascii="Cambria Math" w:hAnsi="Cambria Math"/>
                        <w:sz w:val="24"/>
                      </w:rPr>
                    </m:ctrlPr>
                  </m:sSubSupPr>
                  <m:e>
                    <m:r>
                      <w:rPr>
                        <w:rFonts w:ascii="Cambria Math" w:hAnsi="Cambria Math"/>
                        <w:sz w:val="24"/>
                      </w:rPr>
                      <m:t>S</m:t>
                    </m:r>
                  </m:e>
                  <m:sub>
                    <m:r>
                      <w:rPr>
                        <w:rFonts w:ascii="Cambria Math" w:hAnsi="Cambria Math"/>
                        <w:sz w:val="24"/>
                      </w:rPr>
                      <m:t>i</m:t>
                    </m:r>
                  </m:sub>
                  <m:sup>
                    <m:r>
                      <w:rPr>
                        <w:rFonts w:ascii="Cambria Math" w:hAnsi="Cambria Math"/>
                        <w:sz w:val="24"/>
                      </w:rPr>
                      <m:t>*</m:t>
                    </m:r>
                  </m:sup>
                </m:sSubSup>
                <m:r>
                  <w:rPr>
                    <w:rFonts w:ascii="Cambria Math" w:hAnsi="Cambria Math"/>
                    <w:sz w:val="24"/>
                  </w:rPr>
                  <m:t>=</m:t>
                </m:r>
                <m:sSubSup>
                  <m:sSubSupPr>
                    <m:ctrlPr>
                      <w:rPr>
                        <w:rFonts w:ascii="Cambria Math" w:hAnsi="Cambria Math"/>
                        <w:sz w:val="24"/>
                      </w:rPr>
                    </m:ctrlPr>
                  </m:sSubSupPr>
                  <m:e>
                    <m:sSub>
                      <m:sSubPr>
                        <m:ctrlPr>
                          <w:rPr>
                            <w:rFonts w:ascii="Cambria Math" w:hAnsi="Cambria Math"/>
                            <w:sz w:val="24"/>
                          </w:rPr>
                        </m:ctrlPr>
                      </m:sSubPr>
                      <m:e>
                        <m:r>
                          <w:rPr>
                            <w:rFonts w:ascii="Cambria Math" w:hAnsi="Cambria Math"/>
                            <w:sz w:val="24"/>
                          </w:rPr>
                          <m:t>γ</m:t>
                        </m:r>
                      </m:e>
                      <m:sub>
                        <m:r>
                          <w:rPr>
                            <w:rFonts w:ascii="Cambria Math" w:hAnsi="Cambria Math"/>
                            <w:sz w:val="24"/>
                          </w:rPr>
                          <m:t>S</m:t>
                        </m:r>
                      </m:sub>
                    </m:sSub>
                    <m:sSub>
                      <m:sSubPr>
                        <m:ctrlPr>
                          <w:rPr>
                            <w:rFonts w:ascii="Cambria Math" w:hAnsi="Cambria Math"/>
                            <w:sz w:val="24"/>
                          </w:rPr>
                        </m:ctrlPr>
                      </m:sSubPr>
                      <m:e>
                        <m:r>
                          <w:rPr>
                            <w:rFonts w:ascii="Cambria Math" w:hAnsi="Cambria Math"/>
                            <w:sz w:val="24"/>
                          </w:rPr>
                          <m:t>IC</m:t>
                        </m:r>
                      </m:e>
                      <m:sub>
                        <m:r>
                          <w:rPr>
                            <w:rFonts w:ascii="Cambria Math" w:hAnsi="Cambria Math"/>
                            <w:sz w:val="24"/>
                          </w:rPr>
                          <m:t>i</m:t>
                        </m:r>
                      </m:sub>
                    </m:sSub>
                    <m:r>
                      <w:rPr>
                        <w:rFonts w:ascii="Cambria Math" w:hAnsi="Cambria Math"/>
                        <w:sz w:val="24"/>
                      </w:rPr>
                      <m:t>+X</m:t>
                    </m:r>
                  </m:e>
                  <m:sub>
                    <m:r>
                      <w:rPr>
                        <w:rFonts w:ascii="Cambria Math" w:hAnsi="Cambria Math"/>
                        <w:sz w:val="24"/>
                      </w:rPr>
                      <m:t>i</m:t>
                    </m:r>
                  </m:sub>
                  <m:sup>
                    <m:r>
                      <w:rPr>
                        <w:rFonts w:ascii="Cambria Math" w:hAnsi="Cambria Math"/>
                        <w:sz w:val="24"/>
                      </w:rPr>
                      <m:t>S</m:t>
                    </m:r>
                  </m:sup>
                </m:sSubSup>
                <m:sSub>
                  <m:sSubPr>
                    <m:ctrlPr>
                      <w:rPr>
                        <w:rFonts w:ascii="Cambria Math" w:hAnsi="Cambria Math"/>
                        <w:sz w:val="24"/>
                      </w:rPr>
                    </m:ctrlPr>
                  </m:sSubPr>
                  <m:e>
                    <m:r>
                      <w:rPr>
                        <w:rFonts w:ascii="Cambria Math" w:hAnsi="Cambria Math"/>
                        <w:sz w:val="24"/>
                      </w:rPr>
                      <m:t>β</m:t>
                    </m:r>
                  </m:e>
                  <m:sub>
                    <m:r>
                      <w:rPr>
                        <w:rFonts w:ascii="Cambria Math" w:hAnsi="Cambria Math"/>
                        <w:sz w:val="24"/>
                      </w:rPr>
                      <m:t>S</m:t>
                    </m:r>
                  </m:sub>
                </m:sSub>
                <m:r>
                  <w:rPr>
                    <w:rFonts w:ascii="Cambria Math" w:hAnsi="Cambria Math"/>
                    <w:sz w:val="24"/>
                  </w:rPr>
                  <m:t>+</m:t>
                </m:r>
                <m:sSubSup>
                  <m:sSubSupPr>
                    <m:ctrlPr>
                      <w:rPr>
                        <w:rFonts w:ascii="Cambria Math" w:hAnsi="Cambria Math"/>
                        <w:sz w:val="24"/>
                      </w:rPr>
                    </m:ctrlPr>
                  </m:sSubSupPr>
                  <m:e>
                    <m:r>
                      <w:rPr>
                        <w:rFonts w:ascii="Cambria Math" w:hAnsi="Cambria Math"/>
                        <w:sz w:val="24"/>
                      </w:rPr>
                      <m:t>ε</m:t>
                    </m:r>
                  </m:e>
                  <m:sub>
                    <m:r>
                      <w:rPr>
                        <w:rFonts w:ascii="Cambria Math" w:hAnsi="Cambria Math"/>
                        <w:sz w:val="24"/>
                      </w:rPr>
                      <m:t>i</m:t>
                    </m:r>
                  </m:sub>
                  <m:sup>
                    <m:r>
                      <w:rPr>
                        <w:rFonts w:ascii="Cambria Math" w:hAnsi="Cambria Math"/>
                        <w:sz w:val="24"/>
                      </w:rPr>
                      <m:t>S</m:t>
                    </m:r>
                  </m:sup>
                </m:sSubSup>
              </m:oMath>
            </m:oMathPara>
          </w:p>
        </w:tc>
        <w:tc>
          <w:tcPr>
            <w:tcW w:w="3071" w:type="dxa"/>
            <w:tcBorders>
              <w:top w:val="nil"/>
              <w:left w:val="nil"/>
              <w:bottom w:val="nil"/>
              <w:right w:val="nil"/>
            </w:tcBorders>
            <w:shd w:val="clear" w:color="auto" w:fill="auto"/>
          </w:tcPr>
          <w:p w:rsidR="0045676C" w:rsidRDefault="002E379A" w:rsidP="000354F9">
            <w:pPr>
              <w:spacing w:after="120" w:line="480" w:lineRule="auto"/>
              <w:jc w:val="right"/>
              <w:rPr>
                <w:rFonts w:ascii="Times New Roman" w:hAnsi="Times New Roman" w:cs="Times New Roman"/>
                <w:sz w:val="24"/>
                <w:szCs w:val="24"/>
                <w:lang w:val="en-GB"/>
              </w:rPr>
            </w:pPr>
            <w:r>
              <w:rPr>
                <w:rFonts w:ascii="Times New Roman" w:hAnsi="Times New Roman" w:cs="Times New Roman"/>
                <w:color w:val="00000A"/>
                <w:sz w:val="24"/>
                <w:szCs w:val="24"/>
                <w:lang w:val="en-GB"/>
              </w:rPr>
              <w:t>(8)</w:t>
            </w:r>
          </w:p>
        </w:tc>
      </w:tr>
      <w:tr w:rsidR="0045676C">
        <w:tc>
          <w:tcPr>
            <w:tcW w:w="2234" w:type="dxa"/>
            <w:tcBorders>
              <w:top w:val="nil"/>
              <w:left w:val="nil"/>
              <w:bottom w:val="nil"/>
              <w:right w:val="nil"/>
            </w:tcBorders>
            <w:shd w:val="clear" w:color="auto" w:fill="auto"/>
          </w:tcPr>
          <w:p w:rsidR="0045676C" w:rsidRDefault="0045676C" w:rsidP="000354F9">
            <w:pPr>
              <w:spacing w:after="120" w:line="480" w:lineRule="auto"/>
              <w:jc w:val="both"/>
              <w:rPr>
                <w:color w:val="00000A"/>
                <w:sz w:val="24"/>
                <w:szCs w:val="24"/>
              </w:rPr>
            </w:pPr>
          </w:p>
        </w:tc>
        <w:tc>
          <w:tcPr>
            <w:tcW w:w="3907" w:type="dxa"/>
            <w:tcBorders>
              <w:top w:val="nil"/>
              <w:left w:val="nil"/>
              <w:bottom w:val="nil"/>
              <w:right w:val="nil"/>
            </w:tcBorders>
            <w:shd w:val="clear" w:color="auto" w:fill="auto"/>
          </w:tcPr>
          <w:p w:rsidR="0045676C" w:rsidRDefault="00EF3F5A" w:rsidP="000354F9">
            <w:pPr>
              <w:spacing w:after="120" w:line="480" w:lineRule="auto"/>
              <w:jc w:val="both"/>
              <w:rPr>
                <w:rFonts w:ascii="Times New Roman" w:hAnsi="Times New Roman" w:cs="Times New Roman"/>
                <w:sz w:val="24"/>
                <w:szCs w:val="24"/>
                <w:lang w:val="en-GB"/>
              </w:rPr>
            </w:pPr>
            <m:oMathPara>
              <m:oMath>
                <m:sSubSup>
                  <m:sSubSupPr>
                    <m:ctrlPr>
                      <w:rPr>
                        <w:rFonts w:ascii="Cambria Math" w:hAnsi="Cambria Math"/>
                        <w:sz w:val="24"/>
                      </w:rPr>
                    </m:ctrlPr>
                  </m:sSubSupPr>
                  <m:e>
                    <m:r>
                      <w:rPr>
                        <w:rFonts w:ascii="Cambria Math" w:hAnsi="Cambria Math"/>
                        <w:sz w:val="24"/>
                      </w:rPr>
                      <m:t>WTP</m:t>
                    </m:r>
                  </m:e>
                  <m:sub>
                    <m:r>
                      <w:rPr>
                        <w:rFonts w:ascii="Cambria Math" w:hAnsi="Cambria Math"/>
                        <w:sz w:val="24"/>
                      </w:rPr>
                      <m:t>i</m:t>
                    </m:r>
                  </m:sub>
                  <m:sup>
                    <m:r>
                      <w:rPr>
                        <w:rFonts w:ascii="Cambria Math" w:hAnsi="Cambria Math"/>
                        <w:sz w:val="24"/>
                      </w:rPr>
                      <m:t>*</m:t>
                    </m:r>
                  </m:sup>
                </m:sSubSup>
                <m:r>
                  <w:rPr>
                    <w:rFonts w:ascii="Cambria Math" w:hAnsi="Cambria Math"/>
                    <w:sz w:val="24"/>
                  </w:rPr>
                  <m:t>=</m:t>
                </m:r>
                <m:sSubSup>
                  <m:sSubSupPr>
                    <m:ctrlPr>
                      <w:rPr>
                        <w:rFonts w:ascii="Cambria Math" w:hAnsi="Cambria Math"/>
                        <w:sz w:val="24"/>
                      </w:rPr>
                    </m:ctrlPr>
                  </m:sSubSupPr>
                  <m:e>
                    <m:r>
                      <w:rPr>
                        <w:rFonts w:ascii="Cambria Math" w:hAnsi="Cambria Math"/>
                        <w:sz w:val="24"/>
                      </w:rPr>
                      <m:t>X</m:t>
                    </m:r>
                  </m:e>
                  <m:sub>
                    <m:r>
                      <w:rPr>
                        <w:rFonts w:ascii="Cambria Math" w:hAnsi="Cambria Math"/>
                        <w:sz w:val="24"/>
                      </w:rPr>
                      <m:t>i</m:t>
                    </m:r>
                  </m:sub>
                  <m:sup>
                    <m:r>
                      <w:rPr>
                        <w:rFonts w:ascii="Cambria Math" w:hAnsi="Cambria Math"/>
                        <w:sz w:val="24"/>
                      </w:rPr>
                      <m:t>W</m:t>
                    </m:r>
                  </m:sup>
                </m:sSubSup>
                <m:sSub>
                  <m:sSubPr>
                    <m:ctrlPr>
                      <w:rPr>
                        <w:rFonts w:ascii="Cambria Math" w:hAnsi="Cambria Math"/>
                        <w:sz w:val="24"/>
                      </w:rPr>
                    </m:ctrlPr>
                  </m:sSubPr>
                  <m:e>
                    <m:r>
                      <w:rPr>
                        <w:rFonts w:ascii="Cambria Math" w:hAnsi="Cambria Math"/>
                        <w:sz w:val="24"/>
                      </w:rPr>
                      <m:t>β</m:t>
                    </m:r>
                  </m:e>
                  <m:sub>
                    <m:r>
                      <w:rPr>
                        <w:rFonts w:ascii="Cambria Math" w:hAnsi="Cambria Math"/>
                        <w:sz w:val="24"/>
                      </w:rPr>
                      <m:t>W</m:t>
                    </m:r>
                  </m:sub>
                </m:sSub>
                <m:r>
                  <w:rPr>
                    <w:rFonts w:ascii="Cambria Math" w:hAnsi="Cambria Math"/>
                    <w:sz w:val="24"/>
                  </w:rPr>
                  <m:t>+</m:t>
                </m:r>
                <m:sSubSup>
                  <m:sSubSupPr>
                    <m:ctrlPr>
                      <w:rPr>
                        <w:rFonts w:ascii="Cambria Math" w:hAnsi="Cambria Math"/>
                        <w:sz w:val="24"/>
                      </w:rPr>
                    </m:ctrlPr>
                  </m:sSubSupPr>
                  <m:e>
                    <m:r>
                      <w:rPr>
                        <w:rFonts w:ascii="Cambria Math" w:hAnsi="Cambria Math"/>
                        <w:sz w:val="24"/>
                      </w:rPr>
                      <m:t>ε</m:t>
                    </m:r>
                  </m:e>
                  <m:sub>
                    <m:r>
                      <w:rPr>
                        <w:rFonts w:ascii="Cambria Math" w:hAnsi="Cambria Math"/>
                        <w:sz w:val="24"/>
                      </w:rPr>
                      <m:t>i</m:t>
                    </m:r>
                  </m:sub>
                  <m:sup>
                    <m:r>
                      <w:rPr>
                        <w:rFonts w:ascii="Cambria Math" w:hAnsi="Cambria Math"/>
                        <w:sz w:val="24"/>
                      </w:rPr>
                      <m:t>W</m:t>
                    </m:r>
                  </m:sup>
                </m:sSubSup>
              </m:oMath>
            </m:oMathPara>
          </w:p>
        </w:tc>
        <w:tc>
          <w:tcPr>
            <w:tcW w:w="3071" w:type="dxa"/>
            <w:tcBorders>
              <w:top w:val="nil"/>
              <w:left w:val="nil"/>
              <w:bottom w:val="nil"/>
              <w:right w:val="nil"/>
            </w:tcBorders>
            <w:shd w:val="clear" w:color="auto" w:fill="auto"/>
          </w:tcPr>
          <w:p w:rsidR="0045676C" w:rsidRDefault="002E379A" w:rsidP="000354F9">
            <w:pPr>
              <w:spacing w:after="120" w:line="480" w:lineRule="auto"/>
              <w:jc w:val="right"/>
              <w:rPr>
                <w:rFonts w:ascii="Times New Roman" w:hAnsi="Times New Roman" w:cs="Times New Roman"/>
                <w:sz w:val="24"/>
                <w:szCs w:val="24"/>
                <w:lang w:val="en-GB"/>
              </w:rPr>
            </w:pPr>
            <w:r>
              <w:rPr>
                <w:rFonts w:ascii="Times New Roman" w:hAnsi="Times New Roman" w:cs="Times New Roman"/>
                <w:color w:val="00000A"/>
                <w:sz w:val="24"/>
                <w:szCs w:val="24"/>
                <w:lang w:val="en-GB"/>
              </w:rPr>
              <w:t>(9)</w:t>
            </w:r>
          </w:p>
        </w:tc>
      </w:tr>
    </w:tbl>
    <w:p w:rsidR="00BF2153" w:rsidRPr="00BF2153"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Equations (7) and (9) are identical to Equations (5) and (6), and Equation (8) is the selection equation, with:</w:t>
      </w:r>
      <w:r>
        <w:rPr>
          <w:rFonts w:ascii="Times New Roman" w:hAnsi="Times New Roman" w:cs="Times New Roman"/>
          <w:sz w:val="24"/>
          <w:szCs w:val="24"/>
          <w:lang w:val="en-GB"/>
        </w:rPr>
        <w:t xml:space="preserve"> </w:t>
      </w:r>
      <m:oMath>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=1</m:t>
        </m:r>
      </m:oMath>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lang w:val="en-GB"/>
        </w:rPr>
        <w:t xml:space="preserve">if </w:t>
      </w:r>
      <w:proofErr w:type="gramEnd"/>
      <m:oMath>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m:t>
            </m:r>
          </m:sup>
        </m:sSubSup>
        <m:r>
          <w:rPr>
            <w:rFonts w:ascii="Cambria Math" w:hAnsi="Cambria Math"/>
          </w:rPr>
          <m:t>&gt;0</m:t>
        </m:r>
      </m:oMath>
      <w:r>
        <w:rPr>
          <w:rFonts w:ascii="Times New Roman" w:eastAsia="Times New Roman" w:hAnsi="Times New Roman" w:cs="Times New Roman"/>
          <w:sz w:val="24"/>
          <w:szCs w:val="24"/>
        </w:rPr>
        <w:t xml:space="preserve">, and 0 otherwise. </w:t>
      </w:r>
      <m:oMath>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S</m:t>
            </m:r>
          </m:sup>
        </m:sSubSup>
      </m:oMath>
      <w:r>
        <w:rPr>
          <w:rFonts w:ascii="Cambria" w:eastAsia="Cambria" w:hAnsi="Cambria" w:cs="Cambria"/>
          <w:sz w:val="24"/>
          <w:szCs w:val="2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vector of exogenous variables associated to this Equation. Remark that this Equation just conveys the information that some individuals do not conform to EUT in choosing </w:t>
      </w:r>
      <w:r>
        <w:rPr>
          <w:rFonts w:ascii="Times New Roman" w:eastAsia="Times New Roman" w:hAnsi="Times New Roman" w:cs="Times New Roman"/>
          <w:i/>
          <w:sz w:val="24"/>
          <w:szCs w:val="24"/>
        </w:rPr>
        <w:t>WTP</w:t>
      </w:r>
      <w:r>
        <w:rPr>
          <w:rFonts w:ascii="Times New Roman" w:eastAsia="Times New Roman" w:hAnsi="Times New Roman" w:cs="Times New Roman"/>
          <w:sz w:val="24"/>
          <w:szCs w:val="24"/>
        </w:rPr>
        <w:t xml:space="preserve">=0. It does not discriminate between an EU maximizer and a non EU maximizer for instance since both individuals can choose non-zero WTP. It is worth noting that we introduce the real decision of insurance </w:t>
      </w:r>
      <w:r>
        <w:rPr>
          <w:rFonts w:ascii="Times New Roman" w:eastAsia="Times New Roman" w:hAnsi="Times New Roman" w:cs="Times New Roman"/>
          <w:i/>
          <w:sz w:val="24"/>
          <w:szCs w:val="24"/>
        </w:rPr>
        <w:t>IC</w:t>
      </w:r>
      <w:r>
        <w:rPr>
          <w:rFonts w:ascii="Times New Roman" w:eastAsia="Times New Roman" w:hAnsi="Times New Roman" w:cs="Times New Roman"/>
          <w:sz w:val="24"/>
          <w:szCs w:val="24"/>
        </w:rPr>
        <w:t xml:space="preserve"> as an explanatory variable in the selection </w:t>
      </w:r>
      <w:r w:rsidRPr="00BF2153">
        <w:rPr>
          <w:rFonts w:ascii="Times New Roman" w:eastAsia="Times New Roman" w:hAnsi="Times New Roman" w:cs="Times New Roman"/>
          <w:sz w:val="24"/>
          <w:szCs w:val="24"/>
        </w:rPr>
        <w:t>equation,</w:t>
      </w:r>
      <w:r w:rsidRPr="00BF2153">
        <w:rPr>
          <w:rStyle w:val="Ancredenotedebasdepage"/>
          <w:rFonts w:ascii="Times New Roman" w:eastAsia="Times New Roman" w:hAnsi="Times New Roman" w:cs="Times New Roman"/>
          <w:sz w:val="24"/>
          <w:szCs w:val="24"/>
        </w:rPr>
        <w:footnoteReference w:id="3"/>
      </w:r>
      <w:r w:rsidRPr="00BF2153">
        <w:rPr>
          <w:rFonts w:ascii="Times New Roman" w:eastAsia="Times New Roman" w:hAnsi="Times New Roman" w:cs="Times New Roman"/>
          <w:sz w:val="24"/>
          <w:szCs w:val="24"/>
        </w:rPr>
        <w:t xml:space="preserve"> because buying (or not) real insurance is a potential determinant of the probability to behave (or not) “normally”, </w:t>
      </w:r>
      <w:r w:rsidRPr="00BF2153">
        <w:rPr>
          <w:rFonts w:ascii="Times New Roman" w:eastAsia="Times New Roman" w:hAnsi="Times New Roman" w:cs="Times New Roman"/>
          <w:i/>
          <w:sz w:val="24"/>
          <w:szCs w:val="24"/>
        </w:rPr>
        <w:t>i.e</w:t>
      </w:r>
      <w:r w:rsidRPr="00BF2153">
        <w:rPr>
          <w:rFonts w:ascii="Times New Roman" w:eastAsia="Times New Roman" w:hAnsi="Times New Roman" w:cs="Times New Roman"/>
          <w:sz w:val="24"/>
          <w:szCs w:val="24"/>
        </w:rPr>
        <w:t xml:space="preserve">. announce a non-zero WTP. </w:t>
      </w:r>
      <w:r w:rsidR="00BF2153" w:rsidRPr="00BF2153">
        <w:rPr>
          <w:rFonts w:ascii="Times New Roman" w:eastAsia="Times New Roman" w:hAnsi="Times New Roman" w:cs="Times New Roman"/>
          <w:sz w:val="24"/>
          <w:szCs w:val="24"/>
        </w:rPr>
        <w:t xml:space="preserve">We assume that </w:t>
      </w:r>
      <m:oMath>
        <m:d>
          <m:dPr>
            <m:ctrlPr>
              <w:rPr>
                <w:rFonts w:ascii="Cambria Math" w:hAnsi="Cambria Math" w:cs="Times New Roman"/>
                <w:i/>
                <w:sz w:val="24"/>
                <w:szCs w:val="24"/>
                <w:lang w:val="en-GB"/>
              </w:rPr>
            </m:ctrlPr>
          </m:dPr>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ε</m:t>
                </m:r>
              </m:e>
              <m:sub>
                <m:r>
                  <w:rPr>
                    <w:rFonts w:ascii="Cambria Math" w:hAnsi="Cambria Math" w:cs="Times New Roman"/>
                    <w:sz w:val="24"/>
                    <w:szCs w:val="24"/>
                    <w:lang w:val="en-GB"/>
                  </w:rPr>
                  <m:t>i</m:t>
                </m:r>
              </m:sub>
              <m:sup>
                <m:r>
                  <w:rPr>
                    <w:rFonts w:ascii="Cambria Math" w:hAnsi="Cambria Math" w:cs="Times New Roman"/>
                    <w:sz w:val="24"/>
                    <w:szCs w:val="24"/>
                    <w:lang w:val="en-GB"/>
                  </w:rPr>
                  <m:t>C</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ε</m:t>
                </m:r>
              </m:e>
              <m:sub>
                <m:r>
                  <w:rPr>
                    <w:rFonts w:ascii="Cambria Math" w:hAnsi="Cambria Math" w:cs="Times New Roman"/>
                    <w:sz w:val="24"/>
                    <w:szCs w:val="24"/>
                    <w:lang w:val="en-GB"/>
                  </w:rPr>
                  <m:t>i</m:t>
                </m:r>
              </m:sub>
              <m:sup>
                <m:r>
                  <w:rPr>
                    <w:rFonts w:ascii="Cambria Math" w:hAnsi="Cambria Math" w:cs="Times New Roman"/>
                    <w:sz w:val="24"/>
                    <w:szCs w:val="24"/>
                    <w:lang w:val="en-GB"/>
                  </w:rPr>
                  <m:t>S</m:t>
                </m:r>
              </m:sup>
            </m:sSubSup>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,ε</m:t>
                </m:r>
              </m:e>
              <m:sub>
                <m:r>
                  <w:rPr>
                    <w:rFonts w:ascii="Cambria Math" w:hAnsi="Cambria Math" w:cs="Times New Roman"/>
                    <w:sz w:val="24"/>
                    <w:szCs w:val="24"/>
                    <w:lang w:val="en-GB"/>
                  </w:rPr>
                  <m:t>i</m:t>
                </m:r>
              </m:sub>
              <m:sup>
                <m:r>
                  <w:rPr>
                    <w:rFonts w:ascii="Cambria Math" w:hAnsi="Cambria Math" w:cs="Times New Roman"/>
                    <w:sz w:val="24"/>
                    <w:szCs w:val="24"/>
                    <w:lang w:val="en-GB"/>
                  </w:rPr>
                  <m:t>W</m:t>
                </m:r>
              </m:sup>
            </m:sSubSup>
          </m:e>
        </m:d>
      </m:oMath>
      <w:r w:rsidR="00BF2153" w:rsidRPr="00BF2153">
        <w:rPr>
          <w:rFonts w:ascii="Times New Roman" w:eastAsia="Times New Roman" w:hAnsi="Times New Roman" w:cs="Times New Roman"/>
          <w:sz w:val="24"/>
          <w:szCs w:val="24"/>
        </w:rPr>
        <w:t xml:space="preserve"> follow a </w:t>
      </w:r>
      <w:r w:rsidR="00BF2153" w:rsidRPr="00BF2153">
        <w:rPr>
          <w:rFonts w:ascii="Times New Roman" w:eastAsia="Times New Roman" w:hAnsi="Times New Roman" w:cs="Times New Roman"/>
          <w:sz w:val="24"/>
          <w:szCs w:val="24"/>
        </w:rPr>
        <w:lastRenderedPageBreak/>
        <w:t xml:space="preserve">trivariate normal distribution whose correlation coefficients are </w:t>
      </w:r>
      <w:proofErr w:type="gramStart"/>
      <w:r w:rsidR="00BF2153" w:rsidRPr="00BF2153">
        <w:rPr>
          <w:rFonts w:ascii="Times New Roman" w:eastAsia="Times New Roman" w:hAnsi="Times New Roman" w:cs="Times New Roman"/>
          <w:sz w:val="24"/>
          <w:szCs w:val="24"/>
        </w:rPr>
        <w:t xml:space="preserve">denoted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CW</m:t>
            </m:r>
          </m:sub>
        </m:sSub>
      </m:oMath>
      <w:r w:rsidR="00BF2153" w:rsidRPr="00BF2153">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CS</m:t>
            </m:r>
          </m:sub>
        </m:sSub>
      </m:oMath>
      <w:r w:rsidR="00BF2153" w:rsidRPr="00BF2153">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SW</m:t>
            </m:r>
          </m:sub>
        </m:sSub>
      </m:oMath>
      <w:r w:rsidR="00BF2153" w:rsidRPr="00BF2153">
        <w:rPr>
          <w:rFonts w:ascii="Times New Roman" w:hAnsi="Times New Roman" w:cs="Times New Roman"/>
          <w:sz w:val="24"/>
          <w:szCs w:val="24"/>
          <w:lang w:val="en-GB"/>
        </w:rPr>
        <w:t xml:space="preserve">. </w:t>
      </w:r>
      <w:r w:rsidR="00BF2153" w:rsidRPr="00BF2153">
        <w:rPr>
          <w:rFonts w:ascii="Times New Roman" w:eastAsia="Times New Roman" w:hAnsi="Times New Roman" w:cs="Times New Roman"/>
          <w:sz w:val="24"/>
          <w:szCs w:val="24"/>
        </w:rPr>
        <w:t xml:space="preserve">The variance of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ε</m:t>
            </m:r>
          </m:e>
          <m:sub>
            <m:r>
              <w:rPr>
                <w:rFonts w:ascii="Cambria Math" w:hAnsi="Cambria Math" w:cs="Times New Roman"/>
                <w:sz w:val="24"/>
                <w:szCs w:val="24"/>
                <w:lang w:val="en-GB"/>
              </w:rPr>
              <m:t>i</m:t>
            </m:r>
          </m:sub>
          <m:sup>
            <m:r>
              <w:rPr>
                <w:rFonts w:ascii="Cambria Math" w:hAnsi="Cambria Math" w:cs="Times New Roman"/>
                <w:sz w:val="24"/>
                <w:szCs w:val="24"/>
                <w:lang w:val="en-GB"/>
              </w:rPr>
              <m:t>C</m:t>
            </m:r>
          </m:sup>
        </m:sSubSup>
      </m:oMath>
      <w:r w:rsidR="00BF2153" w:rsidRPr="00BF2153">
        <w:rPr>
          <w:rFonts w:ascii="Times New Roman" w:hAnsi="Times New Roman" w:cs="Times New Roman"/>
          <w:sz w:val="24"/>
          <w:szCs w:val="24"/>
          <w:lang w:val="en-GB"/>
        </w:rPr>
        <w:t xml:space="preserve"> and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ε</m:t>
            </m:r>
          </m:e>
          <m:sub>
            <m:r>
              <w:rPr>
                <w:rFonts w:ascii="Cambria Math" w:hAnsi="Cambria Math" w:cs="Times New Roman"/>
                <w:sz w:val="24"/>
                <w:szCs w:val="24"/>
                <w:lang w:val="en-GB"/>
              </w:rPr>
              <m:t>i</m:t>
            </m:r>
          </m:sub>
          <m:sup>
            <m:r>
              <w:rPr>
                <w:rFonts w:ascii="Cambria Math" w:hAnsi="Cambria Math" w:cs="Times New Roman"/>
                <w:sz w:val="24"/>
                <w:szCs w:val="24"/>
                <w:lang w:val="en-GB"/>
              </w:rPr>
              <m:t>S</m:t>
            </m:r>
          </m:sup>
        </m:sSubSup>
      </m:oMath>
      <w:r w:rsidR="00BF2153" w:rsidRPr="00BF2153">
        <w:rPr>
          <w:rFonts w:ascii="Times New Roman" w:hAnsi="Times New Roman" w:cs="Times New Roman"/>
          <w:sz w:val="24"/>
          <w:szCs w:val="24"/>
          <w:lang w:val="en-GB"/>
        </w:rPr>
        <w:t xml:space="preserve"> </w:t>
      </w:r>
      <w:r w:rsidR="00BF2153" w:rsidRPr="00BF2153">
        <w:rPr>
          <w:rFonts w:ascii="Times New Roman" w:eastAsia="Times New Roman" w:hAnsi="Times New Roman" w:cs="Times New Roman"/>
          <w:sz w:val="24"/>
          <w:szCs w:val="24"/>
        </w:rPr>
        <w:t xml:space="preserve">are normalized to 1 for identification purpose, but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Var(ε</m:t>
            </m:r>
          </m:e>
          <m:sub>
            <m:r>
              <w:rPr>
                <w:rFonts w:ascii="Cambria Math" w:hAnsi="Cambria Math" w:cs="Times New Roman"/>
                <w:sz w:val="24"/>
                <w:szCs w:val="24"/>
                <w:lang w:val="en-GB"/>
              </w:rPr>
              <m:t>i</m:t>
            </m:r>
          </m:sub>
          <m:sup>
            <m:r>
              <w:rPr>
                <w:rFonts w:ascii="Cambria Math" w:hAnsi="Cambria Math" w:cs="Times New Roman"/>
                <w:sz w:val="24"/>
                <w:szCs w:val="24"/>
                <w:lang w:val="en-GB"/>
              </w:rPr>
              <m:t>W</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W</m:t>
            </m:r>
          </m:sub>
          <m:sup>
            <m:r>
              <w:rPr>
                <w:rFonts w:ascii="Cambria Math" w:hAnsi="Cambria Math" w:cs="Times New Roman"/>
                <w:sz w:val="24"/>
                <w:szCs w:val="24"/>
                <w:lang w:val="en-GB"/>
              </w:rPr>
              <m:t>2</m:t>
            </m:r>
          </m:sup>
        </m:sSubSup>
      </m:oMath>
      <w:r w:rsidR="00BF2153" w:rsidRPr="00BF2153">
        <w:rPr>
          <w:rFonts w:ascii="Times New Roman" w:eastAsia="Cambria" w:hAnsi="Times New Roman" w:cs="Times New Roman"/>
          <w:sz w:val="24"/>
          <w:szCs w:val="24"/>
        </w:rPr>
        <w:t xml:space="preserve"> has to be estimated</w:t>
      </w:r>
      <w:r w:rsidR="00BF2153" w:rsidRPr="00BF2153">
        <w:rPr>
          <w:rFonts w:ascii="Times New Roman" w:eastAsia="Times New Roman" w:hAnsi="Times New Roman" w:cs="Times New Roman"/>
          <w:sz w:val="24"/>
          <w:szCs w:val="24"/>
        </w:rPr>
        <w:t>. The empirical counterpart of the willingness-to-pay is now defined by:</w:t>
      </w:r>
    </w:p>
    <w:p w:rsidR="0045676C" w:rsidRDefault="00EF3F5A" w:rsidP="000354F9">
      <w:pPr>
        <w:spacing w:after="120" w:line="480" w:lineRule="auto"/>
        <w:jc w:val="center"/>
        <w:rPr>
          <w:rFonts w:ascii="Times New Roman" w:hAnsi="Times New Roman" w:cs="Times New Roman"/>
          <w:sz w:val="24"/>
          <w:szCs w:val="24"/>
          <w:lang w:val="en-GB"/>
        </w:rPr>
      </w:pPr>
      <m:oMath>
        <m:sSub>
          <m:sSubPr>
            <m:ctrlPr>
              <w:rPr>
                <w:rFonts w:ascii="Cambria Math" w:hAnsi="Cambria Math"/>
              </w:rPr>
            </m:ctrlPr>
          </m:sSubPr>
          <m:e>
            <m:r>
              <w:rPr>
                <w:rFonts w:ascii="Cambria Math" w:hAnsi="Cambria Math"/>
              </w:rPr>
              <m:t>WTP</m:t>
            </m:r>
          </m:e>
          <m:sub>
            <m:r>
              <w:rPr>
                <w:rFonts w:ascii="Cambria Math" w:hAnsi="Cambria Math"/>
              </w:rPr>
              <m:t>i</m:t>
            </m:r>
          </m:sub>
        </m:sSub>
        <m:r>
          <w:rPr>
            <w:rFonts w:ascii="Cambria Math" w:hAnsi="Cambria Math"/>
          </w:rPr>
          <m:t>=max</m:t>
        </m:r>
        <m:d>
          <m:dPr>
            <m:begChr m:val="{"/>
            <m:endChr m:val="}"/>
            <m:ctrlPr>
              <w:rPr>
                <w:rFonts w:ascii="Cambria Math" w:hAnsi="Cambria Math"/>
              </w:rPr>
            </m:ctrlPr>
          </m:dPr>
          <m:e>
            <m:r>
              <w:rPr>
                <w:rFonts w:ascii="Cambria Math" w:hAnsi="Cambria Math"/>
              </w:rPr>
              <m:t>0,</m:t>
            </m:r>
            <m:sSubSup>
              <m:sSubSupPr>
                <m:ctrlPr>
                  <w:rPr>
                    <w:rFonts w:ascii="Cambria Math" w:hAnsi="Cambria Math"/>
                  </w:rPr>
                </m:ctrlPr>
              </m:sSubSupPr>
              <m:e>
                <m:r>
                  <w:rPr>
                    <w:rFonts w:ascii="Cambria Math" w:hAnsi="Cambria Math"/>
                  </w:rPr>
                  <m:t>WTP</m:t>
                </m:r>
              </m:e>
              <m:sub>
                <m:r>
                  <w:rPr>
                    <w:rFonts w:ascii="Cambria Math" w:hAnsi="Cambria Math"/>
                  </w:rPr>
                  <m:t>i</m:t>
                </m:r>
              </m:sub>
              <m:sup>
                <m:r>
                  <w:rPr>
                    <w:rFonts w:ascii="Cambria Math" w:hAnsi="Cambria Math"/>
                  </w:rPr>
                  <m:t>*</m:t>
                </m:r>
              </m:sup>
            </m:sSubSup>
          </m:e>
        </m:d>
      </m:oMath>
      <w:r w:rsidR="002E379A">
        <w:rPr>
          <w:rFonts w:ascii="Times New Roman" w:hAnsi="Times New Roman" w:cs="Times New Roman"/>
          <w:sz w:val="24"/>
          <w:szCs w:val="24"/>
          <w:lang w:val="en-GB"/>
        </w:rPr>
        <w:t xml:space="preserve"> </w:t>
      </w:r>
      <w:proofErr w:type="gramStart"/>
      <w:r w:rsidR="002E379A">
        <w:rPr>
          <w:rFonts w:ascii="Times New Roman" w:hAnsi="Times New Roman" w:cs="Times New Roman"/>
          <w:sz w:val="24"/>
          <w:szCs w:val="24"/>
          <w:lang w:val="en-GB"/>
        </w:rPr>
        <w:t>if</w:t>
      </w:r>
      <w:proofErr w:type="gramEnd"/>
      <w:r w:rsidR="002E379A">
        <w:rPr>
          <w:rFonts w:ascii="Times New Roman" w:hAnsi="Times New Roman" w:cs="Times New Roman"/>
          <w:sz w:val="24"/>
          <w:szCs w:val="24"/>
          <w:lang w:val="en-GB"/>
        </w:rPr>
        <w:t xml:space="preserve"> </w:t>
      </w:r>
      <m:oMath>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m:t>
            </m:r>
          </m:sup>
        </m:sSubSup>
        <m:r>
          <w:rPr>
            <w:rFonts w:ascii="Cambria Math" w:hAnsi="Cambria Math"/>
          </w:rPr>
          <m:t>&gt;0</m:t>
        </m:r>
      </m:oMath>
      <w:r w:rsidR="002E379A">
        <w:rPr>
          <w:rFonts w:ascii="Times New Roman" w:hAnsi="Times New Roman" w:cs="Times New Roman"/>
          <w:sz w:val="24"/>
          <w:szCs w:val="24"/>
          <w:lang w:val="en-GB"/>
        </w:rPr>
        <w:t xml:space="preserve"> and 0 otherwise</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model is a variant (with an additional equation,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the IC equation) of the double hurdle model described in Jones (1989). The likelihood function of this second model is given by:</w:t>
      </w:r>
    </w:p>
    <w:p w:rsidR="00BF2153" w:rsidRPr="0094047B" w:rsidRDefault="00BF2153" w:rsidP="000354F9">
      <w:pPr>
        <w:spacing w:after="120" w:line="480" w:lineRule="auto"/>
        <w:jc w:val="right"/>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L=</m:t>
          </m:r>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0</m:t>
              </m:r>
            </m:sub>
            <m:sup/>
            <m:e>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IC</m:t>
                      </m:r>
                    </m:sub>
                    <m:sup/>
                    <m:e>
                      <m:r>
                        <w:rPr>
                          <w:rFonts w:ascii="Cambria Math" w:eastAsia="Times New Roman" w:hAnsi="Cambria Math" w:cs="Times New Roman"/>
                          <w:sz w:val="24"/>
                          <w:szCs w:val="24"/>
                        </w:rPr>
                        <m:t>Pr</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=1|IC</m:t>
                          </m:r>
                        </m:e>
                      </m:d>
                      <m:r>
                        <w:rPr>
                          <w:rFonts w:ascii="Cambria Math" w:eastAsia="Times New Roman" w:hAnsi="Cambria Math" w:cs="Times New Roman"/>
                          <w:sz w:val="24"/>
                          <w:szCs w:val="24"/>
                        </w:rPr>
                        <m:t>Pr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WTP</m:t>
                              </m:r>
                            </m:e>
                            <m:sub>
                              <m:r>
                                <w:rPr>
                                  <w:rFonts w:ascii="Cambria Math" w:hAnsi="Cambria Math" w:cs="Times New Roman"/>
                                  <w:sz w:val="24"/>
                                  <w:szCs w:val="24"/>
                                  <w:lang w:val="en-GB"/>
                                </w:rPr>
                                <m:t>i</m:t>
                              </m:r>
                            </m:sub>
                            <m:sup>
                              <m:r>
                                <w:rPr>
                                  <w:rFonts w:ascii="Cambria Math" w:hAnsi="Cambria Math" w:cs="Times New Roman"/>
                                  <w:sz w:val="24"/>
                                  <w:szCs w:val="24"/>
                                  <w:lang w:val="en-GB"/>
                                </w:rPr>
                                <m:t>*</m:t>
                              </m:r>
                            </m:sup>
                          </m:sSubSup>
                          <m:r>
                            <w:rPr>
                              <w:rFonts w:ascii="Cambria Math" w:hAnsi="Cambria Math" w:cs="Times New Roman"/>
                              <w:sz w:val="24"/>
                              <w:szCs w:val="24"/>
                              <w:lang w:val="en-GB"/>
                            </w:rPr>
                            <m:t>&gt;0|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=1,IC</m:t>
                          </m:r>
                        </m:e>
                      </m:d>
                      <m:r>
                        <w:rPr>
                          <w:rFonts w:ascii="Cambria Math" w:eastAsia="Times New Roman" w:hAnsi="Cambria Math" w:cs="Times New Roman"/>
                          <w:sz w:val="24"/>
                          <w:szCs w:val="24"/>
                        </w:rPr>
                        <m:t>Pr</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IC</m:t>
                          </m:r>
                        </m:e>
                      </m:d>
                    </m:e>
                  </m:nary>
                </m:e>
              </m:d>
            </m:e>
          </m:nary>
        </m:oMath>
      </m:oMathPara>
    </w:p>
    <w:p w:rsidR="00BF2153" w:rsidRDefault="00EF3F5A" w:rsidP="000354F9">
      <w:pPr>
        <w:spacing w:after="120" w:line="480" w:lineRule="auto"/>
        <w:jc w:val="right"/>
        <w:rPr>
          <w:rFonts w:ascii="Times New Roman" w:eastAsia="Times New Roman" w:hAnsi="Times New Roman" w:cs="Times New Roman"/>
          <w:sz w:val="24"/>
          <w:szCs w:val="24"/>
        </w:rPr>
      </w:pPr>
      <m:oMathPara>
        <m:oMath>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m:t>
              </m:r>
            </m:sub>
            <m:sup/>
            <m:e>
              <m:d>
                <m:dPr>
                  <m:begChr m:val="["/>
                  <m:endChr m:val="]"/>
                  <m:ctrlPr>
                    <w:rPr>
                      <w:rFonts w:ascii="Cambria Math" w:eastAsia="Times New Roman" w:hAnsi="Cambria Math" w:cs="Times New Roman"/>
                      <w:i/>
                      <w:sz w:val="24"/>
                      <w:szCs w:val="24"/>
                    </w:rPr>
                  </m:ctrlPr>
                </m:dPr>
                <m:e>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IC</m:t>
                      </m:r>
                    </m:sub>
                    <m:sup/>
                    <m:e>
                      <m:r>
                        <w:rPr>
                          <w:rFonts w:ascii="Cambria Math" w:eastAsia="Times New Roman" w:hAnsi="Cambria Math" w:cs="Times New Roman"/>
                          <w:sz w:val="24"/>
                          <w:szCs w:val="24"/>
                        </w:rPr>
                        <m:t>Pr</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=1|IC</m:t>
                          </m:r>
                        </m:e>
                      </m:d>
                      <m:r>
                        <w:rPr>
                          <w:rFonts w:ascii="Cambria Math" w:eastAsia="Times New Roman" w:hAnsi="Cambria Math" w:cs="Times New Roman"/>
                          <w:sz w:val="24"/>
                          <w:szCs w:val="24"/>
                        </w:rPr>
                        <m:t>Pr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WTP</m:t>
                              </m:r>
                            </m:e>
                            <m:sub>
                              <m:r>
                                <w:rPr>
                                  <w:rFonts w:ascii="Cambria Math" w:hAnsi="Cambria Math" w:cs="Times New Roman"/>
                                  <w:sz w:val="24"/>
                                  <w:szCs w:val="24"/>
                                  <w:lang w:val="en-GB"/>
                                </w:rPr>
                                <m:t>i</m:t>
                              </m:r>
                            </m:sub>
                            <m:sup>
                              <m:r>
                                <w:rPr>
                                  <w:rFonts w:ascii="Cambria Math" w:hAnsi="Cambria Math" w:cs="Times New Roman"/>
                                  <w:sz w:val="24"/>
                                  <w:szCs w:val="24"/>
                                  <w:lang w:val="en-GB"/>
                                </w:rPr>
                                <m:t>*</m:t>
                              </m:r>
                            </m:sup>
                          </m:sSubSup>
                          <m:r>
                            <w:rPr>
                              <w:rFonts w:ascii="Cambria Math" w:hAnsi="Cambria Math" w:cs="Times New Roman"/>
                              <w:sz w:val="24"/>
                              <w:szCs w:val="24"/>
                              <w:lang w:val="en-GB"/>
                            </w:rPr>
                            <m:t>&gt;0|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=1,IC</m:t>
                          </m:r>
                        </m:e>
                      </m:d>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WTP</m:t>
                              </m:r>
                            </m:e>
                            <m:sub>
                              <m:r>
                                <w:rPr>
                                  <w:rFonts w:ascii="Cambria Math" w:hAnsi="Cambria Math" w:cs="Times New Roman"/>
                                  <w:sz w:val="24"/>
                                  <w:szCs w:val="24"/>
                                  <w:lang w:val="en-GB"/>
                                </w:rPr>
                                <m:t>i</m:t>
                              </m:r>
                            </m:sub>
                            <m:sup>
                              <m:r>
                                <w:rPr>
                                  <w:rFonts w:ascii="Cambria Math" w:hAnsi="Cambria Math" w:cs="Times New Roman"/>
                                  <w:sz w:val="24"/>
                                  <w:szCs w:val="24"/>
                                  <w:lang w:val="en-GB"/>
                                </w:rPr>
                                <m:t>*</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WTP</m:t>
                              </m:r>
                            </m:e>
                            <m:sub>
                              <m:r>
                                <w:rPr>
                                  <w:rFonts w:ascii="Cambria Math" w:hAnsi="Cambria Math" w:cs="Times New Roman"/>
                                  <w:sz w:val="24"/>
                                  <w:szCs w:val="24"/>
                                  <w:lang w:val="en-GB"/>
                                </w:rPr>
                                <m:t>i</m:t>
                              </m:r>
                            </m:sub>
                            <m:sup>
                              <m:r>
                                <w:rPr>
                                  <w:rFonts w:ascii="Cambria Math" w:hAnsi="Cambria Math" w:cs="Times New Roman"/>
                                  <w:sz w:val="24"/>
                                  <w:szCs w:val="24"/>
                                  <w:lang w:val="en-GB"/>
                                </w:rPr>
                                <m:t>*</m:t>
                              </m:r>
                            </m:sup>
                          </m:sSubSup>
                          <m:r>
                            <w:rPr>
                              <w:rFonts w:ascii="Cambria Math" w:hAnsi="Cambria Math" w:cs="Times New Roman"/>
                              <w:sz w:val="24"/>
                              <w:szCs w:val="24"/>
                              <w:lang w:val="en-GB"/>
                            </w:rPr>
                            <m:t>&gt;0,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=1,IC</m:t>
                          </m:r>
                        </m:e>
                      </m:d>
                      <m:r>
                        <w:rPr>
                          <w:rFonts w:ascii="Cambria Math" w:eastAsia="Times New Roman" w:hAnsi="Cambria Math" w:cs="Times New Roman"/>
                          <w:sz w:val="24"/>
                          <w:szCs w:val="24"/>
                        </w:rPr>
                        <m:t>Pr</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IC</m:t>
                          </m:r>
                        </m:e>
                      </m:d>
                    </m:e>
                  </m:nary>
                </m:e>
              </m:d>
            </m:e>
          </m:nary>
        </m:oMath>
      </m:oMathPara>
    </w:p>
    <w:p w:rsidR="0045676C" w:rsidRDefault="002E379A" w:rsidP="000354F9">
      <w:pPr>
        <w:spacing w:after="12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the sample is divided into those with zero WTP (denoted 0) and those with positive WTP (denoted +), and with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the conditional density of WTP. This likelihood can be rewritten by the means of marginal and conditional univariate and bivariate normal cumulative or density functions.</w:t>
      </w:r>
      <w:r>
        <w:rPr>
          <w:rStyle w:val="Ancredenotedebasdepage"/>
          <w:rFonts w:ascii="Times New Roman" w:eastAsia="Times New Roman" w:hAnsi="Times New Roman" w:cs="Times New Roman"/>
          <w:sz w:val="24"/>
          <w:szCs w:val="24"/>
        </w:rPr>
        <w:footnoteReference w:id="4"/>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standard errors are computed to allow for intragroup correlation, relaxing the usual requirement that the observations are independent. That is, the observations are independent between individuals (clusters) but not necessarily for one individual who has taken part in the eight scenarios of the experiment. Moreover, we use the Jackknife method to estimate standard errors in a nonparametric way in order to take any misspecification or the presence of heteroscedasticity into account, thus obtaining robust estimates of standard errors.</w:t>
      </w:r>
    </w:p>
    <w:p w:rsidR="0045676C" w:rsidRDefault="002E379A" w:rsidP="000354F9">
      <w:pPr>
        <w:numPr>
          <w:ilvl w:val="0"/>
          <w:numId w:val="1"/>
        </w:numPr>
        <w:spacing w:after="120" w:line="480" w:lineRule="auto"/>
        <w:ind w:left="284"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Results</w:t>
      </w:r>
    </w:p>
    <w:p w:rsidR="0045676C" w:rsidRDefault="002E379A" w:rsidP="000354F9">
      <w:pPr>
        <w:spacing w:after="120" w:line="480" w:lineRule="auto"/>
        <w:jc w:val="both"/>
        <w:rPr>
          <w:rFonts w:ascii="Times New Roman" w:eastAsia="Times New Roman" w:hAnsi="Times New Roman" w:cs="Times New Roman"/>
          <w:sz w:val="24"/>
          <w:szCs w:val="24"/>
        </w:rPr>
      </w:pPr>
      <w:bookmarkStart w:id="0" w:name="_f5usjv75wz50"/>
      <w:bookmarkEnd w:id="0"/>
      <w:r>
        <w:rPr>
          <w:rFonts w:ascii="Times New Roman" w:eastAsia="Times New Roman" w:hAnsi="Times New Roman" w:cs="Times New Roman"/>
          <w:sz w:val="24"/>
          <w:szCs w:val="24"/>
        </w:rPr>
        <w:t xml:space="preserve">Estimation results for the first model are displayed in Table 5 below. First, we observe that the correlation coefficient between the two error terms </w:t>
      </w:r>
      <m:oMath>
        <m:sSub>
          <m:sSubPr>
            <m:ctrlPr>
              <w:rPr>
                <w:rFonts w:ascii="Cambria Math" w:hAnsi="Cambria Math"/>
                <w:sz w:val="24"/>
              </w:rPr>
            </m:ctrlPr>
          </m:sSubPr>
          <m:e>
            <m:r>
              <w:rPr>
                <w:rFonts w:ascii="Cambria Math" w:hAnsi="Cambria Math"/>
                <w:sz w:val="24"/>
              </w:rPr>
              <m:t>ρ</m:t>
            </m:r>
          </m:e>
          <m:sub>
            <m:r>
              <w:rPr>
                <w:rFonts w:ascii="Cambria Math" w:hAnsi="Cambria Math"/>
                <w:sz w:val="24"/>
              </w:rPr>
              <m:t>CW</m:t>
            </m:r>
          </m:sub>
        </m:sSub>
      </m:oMath>
      <w:r w:rsidR="00BF2153" w:rsidRPr="00BF2153">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 xml:space="preserve">is not significantly different from zero. This implies that the two decisions are not driven by common unobservable factors such as risk aversion for instance. This result may be explained by the fact that the insurance decision occurred in the past and thus the two decisions are not contemporaneous. </w:t>
      </w:r>
    </w:p>
    <w:p w:rsidR="0045676C" w:rsidRDefault="002E379A" w:rsidP="000354F9">
      <w:pPr>
        <w:spacing w:after="120" w:line="480" w:lineRule="auto"/>
        <w:jc w:val="both"/>
        <w:rPr>
          <w:rFonts w:ascii="Times New Roman" w:eastAsia="Times New Roman" w:hAnsi="Times New Roman" w:cs="Times New Roman"/>
          <w:sz w:val="24"/>
          <w:szCs w:val="24"/>
        </w:rPr>
      </w:pPr>
      <w:bookmarkStart w:id="1" w:name="_l3tw0oieew7y"/>
      <w:bookmarkEnd w:id="1"/>
      <w:r>
        <w:rPr>
          <w:rFonts w:ascii="Times New Roman" w:eastAsia="Times New Roman" w:hAnsi="Times New Roman" w:cs="Times New Roman"/>
          <w:sz w:val="24"/>
          <w:szCs w:val="24"/>
        </w:rPr>
        <w:t>Concerning the real insurance decision (</w:t>
      </w:r>
      <w:r>
        <w:rPr>
          <w:rFonts w:ascii="Times New Roman" w:eastAsia="Times New Roman" w:hAnsi="Times New Roman" w:cs="Times New Roman"/>
          <w:i/>
          <w:sz w:val="24"/>
          <w:szCs w:val="24"/>
        </w:rPr>
        <w:t>IC</w:t>
      </w:r>
      <w:r>
        <w:rPr>
          <w:rFonts w:ascii="Times New Roman" w:eastAsia="Times New Roman" w:hAnsi="Times New Roman" w:cs="Times New Roman"/>
          <w:sz w:val="24"/>
          <w:szCs w:val="24"/>
        </w:rPr>
        <w:t>), we obtain that the income has a significant and negative effect on the decision to insure: the lower classes of income (</w:t>
      </w:r>
      <w:r>
        <w:rPr>
          <w:rFonts w:ascii="Times New Roman" w:eastAsia="Times New Roman" w:hAnsi="Times New Roman" w:cs="Times New Roman"/>
          <w:i/>
          <w:sz w:val="24"/>
          <w:szCs w:val="24"/>
        </w:rPr>
        <w:t>INCOM12</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INCOM34</w:t>
      </w:r>
      <w:r>
        <w:rPr>
          <w:rFonts w:ascii="Times New Roman" w:eastAsia="Times New Roman" w:hAnsi="Times New Roman" w:cs="Times New Roman"/>
          <w:sz w:val="24"/>
          <w:szCs w:val="24"/>
        </w:rPr>
        <w:t>) have a lower probability of insuring with respect to the highest class of income (</w:t>
      </w:r>
      <w:r>
        <w:rPr>
          <w:rFonts w:ascii="Times New Roman" w:eastAsia="Times New Roman" w:hAnsi="Times New Roman" w:cs="Times New Roman"/>
          <w:i/>
          <w:sz w:val="24"/>
          <w:szCs w:val="24"/>
        </w:rPr>
        <w:t>INCOM5</w:t>
      </w:r>
      <w:r>
        <w:rPr>
          <w:rFonts w:ascii="Times New Roman" w:eastAsia="Times New Roman" w:hAnsi="Times New Roman" w:cs="Times New Roman"/>
          <w:sz w:val="24"/>
          <w:szCs w:val="24"/>
        </w:rPr>
        <w:t>).</w:t>
      </w:r>
      <w:r>
        <w:rPr>
          <w:rStyle w:val="Ancredenotedebasdepag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This result is similar to Deng et al. (2015), but different from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et al. (2014) who found that household income did not show a significant impact on the purchase of wildfire insurance. The effect of income on insurance demand is somehow puzzling in the literature. Indeed theory predicts that under the reasonable assumption that preferences exhibit Decreasing Absolute Risk Aversion (DARA) then insurance is an inferior good</w:t>
      </w:r>
      <w:r w:rsidR="00B33168">
        <w:rPr>
          <w:rFonts w:ascii="Times New Roman" w:eastAsia="Times New Roman" w:hAnsi="Times New Roman" w:cs="Times New Roman"/>
          <w:sz w:val="24"/>
          <w:szCs w:val="24"/>
        </w:rPr>
        <w:t xml:space="preserve"> (see </w:t>
      </w:r>
      <w:r w:rsidR="00B33168" w:rsidRPr="00B33168">
        <w:rPr>
          <w:rFonts w:ascii="Times New Roman" w:hAnsi="Times New Roman" w:cs="Times New Roman"/>
          <w:sz w:val="24"/>
          <w:szCs w:val="24"/>
        </w:rPr>
        <w:t>Schlesinger</w:t>
      </w:r>
      <w:r w:rsidR="00B33168">
        <w:rPr>
          <w:rFonts w:ascii="Times New Roman" w:hAnsi="Times New Roman" w:cs="Times New Roman"/>
          <w:sz w:val="24"/>
          <w:szCs w:val="24"/>
        </w:rPr>
        <w:t xml:space="preserve"> 2000)</w:t>
      </w:r>
      <w:r>
        <w:rPr>
          <w:rFonts w:ascii="Times New Roman" w:eastAsia="Times New Roman" w:hAnsi="Times New Roman" w:cs="Times New Roman"/>
          <w:sz w:val="24"/>
          <w:szCs w:val="24"/>
        </w:rPr>
        <w:t xml:space="preserve">. However, numerous empirical papers (like ours or Deng et al. 2015 in the field of forest economics) find the opposite result. One possible reason is the absence of control for the value of the insured good which leads to an upward bias if “income” and “value of the good” are positively correlated. Another reason could be that liquidity constraints may affect the ability of poor households to afford such an insurance service especially when levels of insurance are discontinuous. Since in our study the variable </w:t>
      </w:r>
      <w:r>
        <w:rPr>
          <w:rFonts w:ascii="Times New Roman" w:eastAsia="Times New Roman" w:hAnsi="Times New Roman" w:cs="Times New Roman"/>
          <w:i/>
          <w:sz w:val="24"/>
          <w:szCs w:val="24"/>
        </w:rPr>
        <w:t xml:space="preserve">AREA </w:t>
      </w:r>
      <w:r>
        <w:rPr>
          <w:rFonts w:ascii="Times New Roman" w:eastAsia="Times New Roman" w:hAnsi="Times New Roman" w:cs="Times New Roman"/>
          <w:sz w:val="24"/>
          <w:szCs w:val="24"/>
        </w:rPr>
        <w:t xml:space="preserve">(forest area) is a proxy for the property value, then we may favor another interpretation to explain the </w:t>
      </w:r>
      <w:r>
        <w:rPr>
          <w:rFonts w:ascii="Times New Roman" w:eastAsia="Times New Roman" w:hAnsi="Times New Roman" w:cs="Times New Roman"/>
          <w:sz w:val="24"/>
          <w:szCs w:val="24"/>
        </w:rPr>
        <w:lastRenderedPageBreak/>
        <w:t xml:space="preserve">puzzle such as liquidity constraints (just mentioned above) or behavioral explanations (which is beyond the scope of this paper).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variable </w:t>
      </w:r>
      <w:r>
        <w:rPr>
          <w:rFonts w:ascii="Times New Roman" w:eastAsia="Times New Roman" w:hAnsi="Times New Roman" w:cs="Times New Roman"/>
          <w:i/>
          <w:sz w:val="24"/>
          <w:szCs w:val="24"/>
        </w:rPr>
        <w:t xml:space="preserve">FIRE </w:t>
      </w:r>
      <w:r>
        <w:rPr>
          <w:rFonts w:ascii="Times New Roman" w:eastAsia="Times New Roman" w:hAnsi="Times New Roman" w:cs="Times New Roman"/>
          <w:sz w:val="24"/>
          <w:szCs w:val="24"/>
        </w:rPr>
        <w:t xml:space="preserve">has a significant and positive impact, meaning that past occurrence of forest fire significantly increases the real insurance decision. This result is in line with Deng et al. (2015) who report that an owner who has suffered from a timber loss due to natural event in the past indicates a higher </w:t>
      </w:r>
      <w:r>
        <w:rPr>
          <w:rFonts w:ascii="Times New Roman" w:eastAsia="Times New Roman" w:hAnsi="Times New Roman" w:cs="Times New Roman"/>
          <w:i/>
          <w:sz w:val="24"/>
          <w:szCs w:val="24"/>
        </w:rPr>
        <w:t>WTP</w:t>
      </w:r>
      <w:r>
        <w:rPr>
          <w:rFonts w:ascii="Times New Roman" w:eastAsia="Times New Roman" w:hAnsi="Times New Roman" w:cs="Times New Roman"/>
          <w:sz w:val="24"/>
          <w:szCs w:val="24"/>
        </w:rPr>
        <w:t xml:space="preserve">. However, this result differs from the conclusion of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et al. (2014). Indeed, they observed that having suffered from a fire in the last ten years, has a significant and negative impact on the probability to adopt forest insurance. They explain this result by indicating that the occurrence of a fire decreases the probability of fire re-occurrence in the near future because vegetation will take some time to regrow. This is probably true when the forest is entirely destroyed. In a context of climate change when owners experience only partial destruction of their goods, we think that this correlation should be positive (if any), which is consistent with our result.</w:t>
      </w:r>
      <w:r>
        <w:rPr>
          <w:rFonts w:ascii="Times New Roman" w:eastAsia="Times New Roman" w:hAnsi="Times New Roman" w:cs="Times New Roman"/>
          <w:color w:val="FF0000"/>
          <w:sz w:val="24"/>
          <w:szCs w:val="24"/>
        </w:rPr>
        <w:t xml:space="preserve"> </w:t>
      </w:r>
    </w:p>
    <w:p w:rsidR="0045676C" w:rsidRDefault="002E379A" w:rsidP="000354F9">
      <w:pPr>
        <w:spacing w:after="120" w:line="480" w:lineRule="auto"/>
        <w:jc w:val="both"/>
        <w:rPr>
          <w:rFonts w:ascii="Times New Roman" w:eastAsia="Times New Roman" w:hAnsi="Times New Roman" w:cs="Times New Roman"/>
          <w:sz w:val="24"/>
          <w:szCs w:val="24"/>
        </w:rPr>
      </w:pPr>
      <w:bookmarkStart w:id="2" w:name="_ut1b0pfpp797"/>
      <w:bookmarkEnd w:id="2"/>
      <w:r>
        <w:rPr>
          <w:rFonts w:ascii="Times New Roman" w:eastAsia="Times New Roman" w:hAnsi="Times New Roman" w:cs="Times New Roman"/>
          <w:sz w:val="24"/>
          <w:szCs w:val="24"/>
        </w:rPr>
        <w:t>Concerning the hypothetical insurance decision (</w:t>
      </w:r>
      <w:r>
        <w:rPr>
          <w:rFonts w:ascii="Times New Roman" w:eastAsia="Times New Roman" w:hAnsi="Times New Roman" w:cs="Times New Roman"/>
          <w:i/>
          <w:sz w:val="24"/>
          <w:szCs w:val="24"/>
        </w:rPr>
        <w:t>WTP</w:t>
      </w:r>
      <w:r>
        <w:rPr>
          <w:rFonts w:ascii="Times New Roman" w:eastAsia="Times New Roman" w:hAnsi="Times New Roman" w:cs="Times New Roman"/>
          <w:sz w:val="24"/>
          <w:szCs w:val="24"/>
        </w:rPr>
        <w:t>), Table 5 indicates that the expected loss (</w:t>
      </w:r>
      <w:r>
        <w:rPr>
          <w:rFonts w:ascii="Times New Roman" w:eastAsia="Times New Roman" w:hAnsi="Times New Roman" w:cs="Times New Roman"/>
          <w:i/>
          <w:sz w:val="24"/>
          <w:szCs w:val="24"/>
        </w:rPr>
        <w:t>ELOSS</w:t>
      </w:r>
      <w:r>
        <w:rPr>
          <w:rFonts w:ascii="Times New Roman" w:eastAsia="Times New Roman" w:hAnsi="Times New Roman" w:cs="Times New Roman"/>
          <w:sz w:val="24"/>
          <w:szCs w:val="24"/>
        </w:rPr>
        <w:t>) and the presence of ambiguity (</w:t>
      </w:r>
      <w:r>
        <w:rPr>
          <w:rFonts w:ascii="Times New Roman" w:eastAsia="Times New Roman" w:hAnsi="Times New Roman" w:cs="Times New Roman"/>
          <w:i/>
          <w:sz w:val="24"/>
          <w:szCs w:val="24"/>
        </w:rPr>
        <w:t>AMBIGU</w:t>
      </w:r>
      <w:r>
        <w:rPr>
          <w:rFonts w:ascii="Times New Roman" w:eastAsia="Times New Roman" w:hAnsi="Times New Roman" w:cs="Times New Roman"/>
          <w:sz w:val="24"/>
          <w:szCs w:val="24"/>
        </w:rPr>
        <w:t xml:space="preserve">) have a positive and significant impact on </w:t>
      </w:r>
      <w:r>
        <w:rPr>
          <w:rFonts w:ascii="Times New Roman" w:eastAsia="Times New Roman" w:hAnsi="Times New Roman" w:cs="Times New Roman"/>
          <w:i/>
          <w:sz w:val="24"/>
          <w:szCs w:val="24"/>
        </w:rPr>
        <w:t>WTP</w:t>
      </w:r>
      <w:r>
        <w:rPr>
          <w:rFonts w:ascii="Times New Roman" w:eastAsia="Times New Roman" w:hAnsi="Times New Roman" w:cs="Times New Roman"/>
          <w:sz w:val="24"/>
          <w:szCs w:val="24"/>
        </w:rPr>
        <w:t xml:space="preserve">, which is consistent with the theory (see Alary et al. 2013). This implies that the forest owner wants to transfer more risk to the insurance company when the probability of fire occurrence is imprecise. We also observe that a fixed assistance has a negative impact, which seems intuitive since the forest owner has less incentive to pay for insurance. This result is also in line with previous results (Brunette et al. 2013).  Finally, note that the variable related to the public assistance </w:t>
      </w:r>
      <w:r>
        <w:rPr>
          <w:rFonts w:ascii="Times New Roman" w:eastAsia="Times New Roman" w:hAnsi="Times New Roman" w:cs="Times New Roman"/>
          <w:i/>
          <w:sz w:val="24"/>
          <w:szCs w:val="24"/>
        </w:rPr>
        <w:t xml:space="preserve">CFA </w:t>
      </w:r>
      <w:r>
        <w:rPr>
          <w:rFonts w:ascii="Times New Roman" w:eastAsia="Times New Roman" w:hAnsi="Times New Roman" w:cs="Times New Roman"/>
          <w:sz w:val="24"/>
          <w:szCs w:val="24"/>
        </w:rPr>
        <w:t xml:space="preserve">is positive but not significant. Following </w:t>
      </w:r>
      <w:proofErr w:type="spellStart"/>
      <w:r>
        <w:rPr>
          <w:rFonts w:ascii="Times New Roman" w:eastAsia="Times New Roman" w:hAnsi="Times New Roman" w:cs="Times New Roman"/>
          <w:sz w:val="24"/>
          <w:szCs w:val="24"/>
        </w:rPr>
        <w:t>Sauter</w:t>
      </w:r>
      <w:proofErr w:type="spellEnd"/>
      <w:r>
        <w:rPr>
          <w:rFonts w:ascii="Times New Roman" w:eastAsia="Times New Roman" w:hAnsi="Times New Roman" w:cs="Times New Roman"/>
          <w:sz w:val="24"/>
          <w:szCs w:val="24"/>
        </w:rPr>
        <w:t xml:space="preserve"> et al. (2016), we can argue that such a public assistance is not well-known by French private forest owners since such a contingency does not exist in France, and then, the respondents may be more reluctant as regard to this type of public help.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Remark finally that the variable related to forest area (</w:t>
      </w:r>
      <w:r>
        <w:rPr>
          <w:rFonts w:ascii="Times New Roman" w:eastAsia="Times New Roman" w:hAnsi="Times New Roman" w:cs="Times New Roman"/>
          <w:i/>
          <w:sz w:val="24"/>
          <w:szCs w:val="24"/>
        </w:rPr>
        <w:t>AREA</w:t>
      </w:r>
      <w:r>
        <w:rPr>
          <w:rFonts w:ascii="Times New Roman" w:eastAsia="Times New Roman" w:hAnsi="Times New Roman" w:cs="Times New Roman"/>
          <w:sz w:val="24"/>
          <w:szCs w:val="24"/>
        </w:rPr>
        <w:t>) is positive and not significant for both the hypothetical and real insurance decisions. This result is also found in the literature (Deng et al. 2015).</w:t>
      </w:r>
    </w:p>
    <w:p w:rsidR="0045676C" w:rsidRDefault="002E379A" w:rsidP="000354F9">
      <w:pPr>
        <w:spacing w:after="120" w:line="480" w:lineRule="auto"/>
        <w:jc w:val="center"/>
        <w:rPr>
          <w:rFonts w:ascii="Times New Roman" w:eastAsia="Times New Roman" w:hAnsi="Times New Roman" w:cs="Times New Roman"/>
        </w:rPr>
      </w:pPr>
      <w:proofErr w:type="gramStart"/>
      <w:r>
        <w:rPr>
          <w:rFonts w:ascii="Times New Roman" w:eastAsia="Times New Roman" w:hAnsi="Times New Roman" w:cs="Times New Roman"/>
          <w:b/>
        </w:rPr>
        <w:t>Table 5.</w:t>
      </w:r>
      <w:proofErr w:type="gramEnd"/>
      <w:r>
        <w:rPr>
          <w:rFonts w:ascii="Times New Roman" w:eastAsia="Times New Roman" w:hAnsi="Times New Roman" w:cs="Times New Roman"/>
          <w:b/>
        </w:rPr>
        <w:t xml:space="preserve"> </w:t>
      </w:r>
      <w:r>
        <w:rPr>
          <w:rFonts w:ascii="Times New Roman" w:eastAsia="Times New Roman" w:hAnsi="Times New Roman" w:cs="Times New Roman"/>
        </w:rPr>
        <w:t>Estimation results of the real insurance decision (IC) and WTP</w:t>
      </w:r>
    </w:p>
    <w:tbl>
      <w:tblPr>
        <w:tblW w:w="6447" w:type="dxa"/>
        <w:jc w:val="center"/>
        <w:tblInd w:w="-851" w:type="dxa"/>
        <w:tblBorders>
          <w:top w:val="single" w:sz="4" w:space="0" w:color="00000A"/>
          <w:bottom w:val="single" w:sz="6" w:space="0" w:color="000001"/>
          <w:insideH w:val="single" w:sz="6" w:space="0" w:color="000001"/>
        </w:tblBorders>
        <w:tblLook w:val="0000" w:firstRow="0" w:lastRow="0" w:firstColumn="0" w:lastColumn="0" w:noHBand="0" w:noVBand="0"/>
      </w:tblPr>
      <w:tblGrid>
        <w:gridCol w:w="2301"/>
        <w:gridCol w:w="1296"/>
        <w:gridCol w:w="2850"/>
      </w:tblGrid>
      <w:tr w:rsidR="0045676C" w:rsidTr="002D433E">
        <w:trPr>
          <w:jc w:val="center"/>
        </w:trPr>
        <w:tc>
          <w:tcPr>
            <w:tcW w:w="2301" w:type="dxa"/>
            <w:tcBorders>
              <w:top w:val="single" w:sz="4" w:space="0" w:color="00000A"/>
              <w:bottom w:val="single" w:sz="4" w:space="0" w:color="auto"/>
            </w:tcBorders>
            <w:shd w:val="clear" w:color="auto" w:fill="auto"/>
          </w:tcPr>
          <w:p w:rsidR="0045676C" w:rsidRDefault="002D433E"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1296" w:type="dxa"/>
            <w:tcBorders>
              <w:top w:val="single" w:sz="4" w:space="0" w:color="00000A"/>
              <w:bottom w:val="single" w:sz="4" w:space="0" w:color="auto"/>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IC</w:t>
            </w:r>
          </w:p>
        </w:tc>
        <w:tc>
          <w:tcPr>
            <w:tcW w:w="2850" w:type="dxa"/>
            <w:tcBorders>
              <w:top w:val="single" w:sz="4" w:space="0" w:color="00000A"/>
              <w:bottom w:val="single" w:sz="4" w:space="0" w:color="auto"/>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WTP</w:t>
            </w:r>
          </w:p>
        </w:tc>
      </w:tr>
      <w:tr w:rsidR="0045676C" w:rsidTr="002D433E">
        <w:trPr>
          <w:jc w:val="center"/>
        </w:trPr>
        <w:tc>
          <w:tcPr>
            <w:tcW w:w="2301" w:type="dxa"/>
            <w:tcBorders>
              <w:top w:val="single" w:sz="4" w:space="0" w:color="auto"/>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ELOSS</w:t>
            </w:r>
          </w:p>
        </w:tc>
        <w:tc>
          <w:tcPr>
            <w:tcW w:w="1296" w:type="dxa"/>
            <w:tcBorders>
              <w:top w:val="single" w:sz="4" w:space="0" w:color="auto"/>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single" w:sz="4" w:space="0" w:color="auto"/>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5.091**</w:t>
            </w: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(2.148)</w:t>
            </w: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-0.997**</w:t>
            </w: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CFA</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0.131</w:t>
            </w: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(0.361)</w:t>
            </w: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AMBIGU</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7.443*</w:t>
            </w: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(3.827)</w:t>
            </w: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AREA (in log)</w:t>
            </w: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0.225</w:t>
            </w: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1.138</w:t>
            </w: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(0.184)</w:t>
            </w: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(1.239)</w:t>
            </w: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w:t>
            </w: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0.570</w:t>
            </w: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-0.586</w:t>
            </w: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(0.353)</w:t>
            </w: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(1.492)</w:t>
            </w: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INCOM12</w:t>
            </w: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-1.962**</w:t>
            </w:r>
          </w:p>
        </w:tc>
        <w:tc>
          <w:tcPr>
            <w:tcW w:w="285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(0.839)</w:t>
            </w:r>
          </w:p>
        </w:tc>
        <w:tc>
          <w:tcPr>
            <w:tcW w:w="285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INCOM34</w:t>
            </w: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-1.256**</w:t>
            </w:r>
          </w:p>
        </w:tc>
        <w:tc>
          <w:tcPr>
            <w:tcW w:w="285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(0.562)</w:t>
            </w:r>
          </w:p>
        </w:tc>
        <w:tc>
          <w:tcPr>
            <w:tcW w:w="285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w:t>
            </w: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0.750*</w:t>
            </w:r>
          </w:p>
        </w:tc>
        <w:tc>
          <w:tcPr>
            <w:tcW w:w="285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(0.419)</w:t>
            </w:r>
          </w:p>
        </w:tc>
        <w:tc>
          <w:tcPr>
            <w:tcW w:w="285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-2.652**</w:t>
            </w: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-8.023</w:t>
            </w:r>
          </w:p>
        </w:tc>
      </w:tr>
      <w:tr w:rsidR="0045676C" w:rsidTr="002D433E">
        <w:trPr>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(1.217)</w:t>
            </w: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(5.491)</w:t>
            </w:r>
          </w:p>
        </w:tc>
      </w:tr>
      <w:tr w:rsidR="005A6BA3" w:rsidTr="002D433E">
        <w:trPr>
          <w:jc w:val="center"/>
        </w:trPr>
        <w:tc>
          <w:tcPr>
            <w:tcW w:w="2301" w:type="dxa"/>
            <w:tcBorders>
              <w:top w:val="nil"/>
              <w:bottom w:val="nil"/>
            </w:tcBorders>
            <w:shd w:val="clear" w:color="auto" w:fill="auto"/>
          </w:tcPr>
          <w:p w:rsidR="005A6BA3" w:rsidRDefault="005A6BA3" w:rsidP="000354F9">
            <w:pPr>
              <w:spacing w:after="120" w:line="480" w:lineRule="auto"/>
              <w:rPr>
                <w:rFonts w:ascii="Times New Roman" w:eastAsia="Times New Roman" w:hAnsi="Times New Roman" w:cs="Times New Roman"/>
                <w:sz w:val="20"/>
                <w:szCs w:val="20"/>
              </w:rPr>
            </w:pPr>
            <w:r w:rsidRPr="00343204">
              <w:rPr>
                <w:rFonts w:ascii="Times New Roman" w:hAnsi="Times New Roman" w:cs="Times New Roman"/>
                <w:sz w:val="20"/>
                <w:szCs w:val="20"/>
                <w:lang w:val="en-GB"/>
              </w:rPr>
              <w:t>ln</w:t>
            </w:r>
            <m:oMath>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(σ</m:t>
                  </m:r>
                </m:e>
                <m:sub>
                  <m:r>
                    <w:rPr>
                      <w:rFonts w:ascii="Cambria Math" w:hAnsi="Cambria Math" w:cs="Times New Roman"/>
                      <w:sz w:val="20"/>
                      <w:szCs w:val="20"/>
                      <w:lang w:val="en-GB"/>
                    </w:rPr>
                    <m:t>W</m:t>
                  </m:r>
                </m:sub>
                <m:sup>
                  <m:r>
                    <w:rPr>
                      <w:rFonts w:ascii="Cambria Math" w:hAnsi="Cambria Math" w:cs="Times New Roman"/>
                      <w:sz w:val="20"/>
                      <w:szCs w:val="20"/>
                      <w:lang w:val="en-GB"/>
                    </w:rPr>
                    <m:t>2</m:t>
                  </m:r>
                </m:sup>
              </m:sSubSup>
              <m:r>
                <w:rPr>
                  <w:rFonts w:ascii="Cambria Math" w:hAnsi="Cambria Math" w:cs="Times New Roman"/>
                  <w:sz w:val="20"/>
                  <w:szCs w:val="20"/>
                  <w:lang w:val="en-GB"/>
                </w:rPr>
                <m:t>)</m:t>
              </m:r>
            </m:oMath>
          </w:p>
        </w:tc>
        <w:tc>
          <w:tcPr>
            <w:tcW w:w="1296" w:type="dxa"/>
            <w:tcBorders>
              <w:top w:val="nil"/>
              <w:bottom w:val="nil"/>
            </w:tcBorders>
            <w:shd w:val="clear" w:color="auto" w:fill="auto"/>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r>
      <w:tr w:rsidR="0045676C" w:rsidTr="002D433E">
        <w:trPr>
          <w:trHeight w:val="240"/>
          <w:jc w:val="center"/>
        </w:trPr>
        <w:tc>
          <w:tcPr>
            <w:tcW w:w="2301" w:type="dxa"/>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85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(0.436)</w:t>
            </w:r>
          </w:p>
        </w:tc>
      </w:tr>
      <w:tr w:rsidR="005A6BA3" w:rsidTr="002D433E">
        <w:trPr>
          <w:trHeight w:val="200"/>
          <w:jc w:val="center"/>
        </w:trPr>
        <w:tc>
          <w:tcPr>
            <w:tcW w:w="2301" w:type="dxa"/>
            <w:tcBorders>
              <w:top w:val="nil"/>
              <w:bottom w:val="nil"/>
            </w:tcBorders>
            <w:shd w:val="clear" w:color="auto" w:fill="auto"/>
          </w:tcPr>
          <w:p w:rsidR="005A6BA3" w:rsidRDefault="00EF3F5A" w:rsidP="000354F9">
            <w:pPr>
              <w:spacing w:after="120" w:line="480" w:lineRule="auto"/>
              <w:rPr>
                <w:rFonts w:ascii="Cambria" w:eastAsia="Cambria" w:hAnsi="Cambria" w:cs="Cambria"/>
                <w:sz w:val="20"/>
                <w:szCs w:val="20"/>
              </w:rPr>
            </w:pPr>
            <m:oMathPara>
              <m:oMathParaPr>
                <m:jc m:val="left"/>
              </m:oMathParaPr>
              <m:oMath>
                <m:sSub>
                  <m:sSubPr>
                    <m:ctrlPr>
                      <w:rPr>
                        <w:rFonts w:ascii="Cambria Math" w:hAnsi="Cambria Math" w:cs="Times New Roman"/>
                        <w:i/>
                        <w:sz w:val="20"/>
                        <w:szCs w:val="20"/>
                        <w:lang w:val="en-GB"/>
                      </w:rPr>
                    </m:ctrlPr>
                  </m:sSubPr>
                  <m:e>
                    <m:r>
                      <m:rPr>
                        <m:sty m:val="p"/>
                      </m:rPr>
                      <w:rPr>
                        <w:rFonts w:ascii="Cambria Math" w:hAnsi="Cambria Math" w:cs="Times New Roman"/>
                        <w:sz w:val="20"/>
                        <w:szCs w:val="20"/>
                        <w:lang w:val="en-GB"/>
                      </w:rPr>
                      <m:t>artanh</m:t>
                    </m:r>
                    <m:r>
                      <w:rPr>
                        <w:rFonts w:ascii="Cambria Math" w:hAnsi="Cambria Math" w:cs="Times New Roman"/>
                        <w:sz w:val="20"/>
                        <w:szCs w:val="20"/>
                        <w:lang w:val="en-GB"/>
                      </w:rPr>
                      <m:t>(ρ</m:t>
                    </m:r>
                  </m:e>
                  <m:sub>
                    <m:r>
                      <w:rPr>
                        <w:rFonts w:ascii="Cambria Math" w:hAnsi="Cambria Math" w:cs="Times New Roman"/>
                        <w:sz w:val="20"/>
                        <w:szCs w:val="20"/>
                        <w:lang w:val="en-GB"/>
                      </w:rPr>
                      <m:t>CW</m:t>
                    </m:r>
                  </m:sub>
                </m:sSub>
                <m:r>
                  <w:rPr>
                    <w:rFonts w:ascii="Cambria Math" w:hAnsi="Cambria Math" w:cs="Times New Roman"/>
                    <w:sz w:val="20"/>
                    <w:szCs w:val="20"/>
                    <w:lang w:val="en-GB"/>
                  </w:rPr>
                  <m:t>)</m:t>
                </m:r>
              </m:oMath>
            </m:oMathPara>
          </w:p>
        </w:tc>
        <w:tc>
          <w:tcPr>
            <w:tcW w:w="4146" w:type="dxa"/>
            <w:gridSpan w:val="2"/>
            <w:vMerge w:val="restart"/>
            <w:tcBorders>
              <w:top w:val="nil"/>
              <w:bottom w:val="nil"/>
            </w:tcBorders>
            <w:shd w:val="clear" w:color="auto" w:fill="auto"/>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0.193</w:t>
            </w:r>
          </w:p>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(0.365)</w:t>
            </w:r>
          </w:p>
        </w:tc>
      </w:tr>
      <w:tr w:rsidR="0045676C" w:rsidTr="002D433E">
        <w:trPr>
          <w:trHeight w:val="200"/>
          <w:jc w:val="center"/>
        </w:trPr>
        <w:tc>
          <w:tcPr>
            <w:tcW w:w="2301" w:type="dxa"/>
            <w:tcBorders>
              <w:top w:val="nil"/>
              <w:bottom w:val="single" w:sz="4" w:space="0" w:color="auto"/>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4146" w:type="dxa"/>
            <w:gridSpan w:val="2"/>
            <w:vMerge/>
            <w:tcBorders>
              <w:top w:val="nil"/>
              <w:bottom w:val="single" w:sz="4" w:space="0" w:color="auto"/>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trHeight w:val="200"/>
          <w:jc w:val="center"/>
        </w:trPr>
        <w:tc>
          <w:tcPr>
            <w:tcW w:w="2301" w:type="dxa"/>
            <w:tcBorders>
              <w:top w:val="single" w:sz="4" w:space="0" w:color="auto"/>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4146" w:type="dxa"/>
            <w:gridSpan w:val="2"/>
            <w:tcBorders>
              <w:top w:val="single" w:sz="4" w:space="0" w:color="auto"/>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r>
      <w:tr w:rsidR="0045676C" w:rsidTr="002D433E">
        <w:trPr>
          <w:trHeight w:val="200"/>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w:t>
            </w:r>
          </w:p>
        </w:tc>
        <w:tc>
          <w:tcPr>
            <w:tcW w:w="4146"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45676C" w:rsidTr="002D433E">
        <w:trPr>
          <w:trHeight w:val="200"/>
          <w:jc w:val="center"/>
        </w:trPr>
        <w:tc>
          <w:tcPr>
            <w:tcW w:w="2301" w:type="dxa"/>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successful Jackknife replications</w:t>
            </w:r>
          </w:p>
        </w:tc>
        <w:tc>
          <w:tcPr>
            <w:tcW w:w="4146"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45676C" w:rsidTr="002D433E">
        <w:trPr>
          <w:trHeight w:val="200"/>
          <w:jc w:val="center"/>
        </w:trPr>
        <w:tc>
          <w:tcPr>
            <w:tcW w:w="2301" w:type="dxa"/>
            <w:tcBorders>
              <w:top w:val="nil"/>
              <w:bottom w:val="single" w:sz="4" w:space="0" w:color="00000A"/>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 pseudo-likelihood</w:t>
            </w:r>
          </w:p>
        </w:tc>
        <w:tc>
          <w:tcPr>
            <w:tcW w:w="4146" w:type="dxa"/>
            <w:gridSpan w:val="2"/>
            <w:tcBorders>
              <w:top w:val="nil"/>
              <w:bottom w:val="single" w:sz="4" w:space="0" w:color="00000A"/>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-1151</w:t>
            </w:r>
          </w:p>
        </w:tc>
      </w:tr>
      <w:tr w:rsidR="0045676C" w:rsidTr="002D433E">
        <w:trPr>
          <w:trHeight w:val="200"/>
          <w:jc w:val="center"/>
        </w:trPr>
        <w:tc>
          <w:tcPr>
            <w:tcW w:w="6447" w:type="dxa"/>
            <w:gridSpan w:val="3"/>
            <w:tcBorders>
              <w:top w:val="single" w:sz="4" w:space="0" w:color="00000A"/>
              <w:bottom w:val="nil"/>
            </w:tcBorders>
            <w:shd w:val="clear" w:color="auto" w:fill="auto"/>
          </w:tcPr>
          <w:p w:rsidR="0045676C" w:rsidRDefault="002E379A" w:rsidP="002D433E">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Jackknife robust standard errors in parentheses (adjusted for 40 clusters in individuals).</w:t>
            </w:r>
            <w:r w:rsidR="002D43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Significance levels: *** </w:t>
            </w:r>
            <w:r w:rsidRPr="005A6BA3">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&lt;0.01, ** </w:t>
            </w:r>
            <w:r w:rsidRPr="005A6BA3">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&lt;0.05, * </w:t>
            </w:r>
            <w:r w:rsidRPr="005A6BA3">
              <w:rPr>
                <w:rFonts w:ascii="Times New Roman" w:eastAsia="Times New Roman" w:hAnsi="Times New Roman" w:cs="Times New Roman"/>
                <w:i/>
                <w:sz w:val="20"/>
                <w:szCs w:val="20"/>
              </w:rPr>
              <w:t>p</w:t>
            </w:r>
            <w:r>
              <w:rPr>
                <w:rFonts w:ascii="Times New Roman" w:eastAsia="Times New Roman" w:hAnsi="Times New Roman" w:cs="Times New Roman"/>
                <w:sz w:val="20"/>
                <w:szCs w:val="20"/>
              </w:rPr>
              <w:t>&lt;0.1.</w:t>
            </w:r>
            <w:r w:rsidR="002D43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Likelihood-ratio tests from pseudo-likelihood are invalid and thus are not computed.</w:t>
            </w:r>
          </w:p>
        </w:tc>
      </w:tr>
    </w:tbl>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Estimation results of the second model are presented in Table 6 for each of the three equations considered: insurance coverage equation (</w:t>
      </w:r>
      <w:r>
        <w:rPr>
          <w:rFonts w:ascii="Times New Roman" w:eastAsia="Times New Roman" w:hAnsi="Times New Roman" w:cs="Times New Roman"/>
          <w:i/>
          <w:sz w:val="24"/>
          <w:szCs w:val="24"/>
        </w:rPr>
        <w:t>IC</w:t>
      </w:r>
      <w:r>
        <w:rPr>
          <w:rFonts w:ascii="Times New Roman" w:eastAsia="Times New Roman" w:hAnsi="Times New Roman" w:cs="Times New Roman"/>
          <w:sz w:val="24"/>
          <w:szCs w:val="24"/>
        </w:rPr>
        <w:t>), selection equation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and willingness-to-pay equation (</w:t>
      </w:r>
      <w:r>
        <w:rPr>
          <w:rFonts w:ascii="Times New Roman" w:eastAsia="Times New Roman" w:hAnsi="Times New Roman" w:cs="Times New Roman"/>
          <w:i/>
          <w:sz w:val="24"/>
          <w:szCs w:val="24"/>
        </w:rPr>
        <w:t>WTP</w:t>
      </w:r>
      <w:r>
        <w:rPr>
          <w:rFonts w:ascii="Times New Roman" w:eastAsia="Times New Roman" w:hAnsi="Times New Roman" w:cs="Times New Roman"/>
          <w:sz w:val="24"/>
          <w:szCs w:val="24"/>
        </w:rPr>
        <w:t xml:space="preserve">). </w:t>
      </w:r>
    </w:p>
    <w:p w:rsidR="0045676C" w:rsidRDefault="002E379A" w:rsidP="000354F9">
      <w:pPr>
        <w:spacing w:after="120" w:line="480" w:lineRule="auto"/>
        <w:rPr>
          <w:rFonts w:ascii="Times New Roman" w:eastAsia="Times New Roman" w:hAnsi="Times New Roman" w:cs="Times New Roman"/>
          <w:b/>
          <w:sz w:val="24"/>
          <w:szCs w:val="24"/>
        </w:rPr>
      </w:pPr>
      <w:r>
        <w:br w:type="page"/>
      </w:r>
    </w:p>
    <w:p w:rsidR="0045676C" w:rsidRDefault="002E379A" w:rsidP="000354F9">
      <w:pPr>
        <w:spacing w:after="120" w:line="480" w:lineRule="auto"/>
        <w:jc w:val="center"/>
        <w:rPr>
          <w:rFonts w:ascii="Times New Roman" w:eastAsia="Times New Roman" w:hAnsi="Times New Roman" w:cs="Times New Roman"/>
        </w:rPr>
      </w:pPr>
      <w:proofErr w:type="gramStart"/>
      <w:r>
        <w:rPr>
          <w:rFonts w:ascii="Times New Roman" w:eastAsia="Times New Roman" w:hAnsi="Times New Roman" w:cs="Times New Roman"/>
          <w:b/>
        </w:rPr>
        <w:lastRenderedPageBreak/>
        <w:t>Table 6.</w:t>
      </w:r>
      <w:proofErr w:type="gramEnd"/>
      <w:r>
        <w:rPr>
          <w:rFonts w:ascii="Times New Roman" w:eastAsia="Times New Roman" w:hAnsi="Times New Roman" w:cs="Times New Roman"/>
        </w:rPr>
        <w:t xml:space="preserve"> Estimation results of the Tobit model with endogenous observed insurance and selection</w:t>
      </w:r>
    </w:p>
    <w:tbl>
      <w:tblPr>
        <w:tblW w:w="7197" w:type="dxa"/>
        <w:jc w:val="center"/>
        <w:tblBorders>
          <w:bottom w:val="single" w:sz="6" w:space="0" w:color="000001"/>
          <w:insideH w:val="single" w:sz="6" w:space="0" w:color="000001"/>
        </w:tblBorders>
        <w:tblLook w:val="0000" w:firstRow="0" w:lastRow="0" w:firstColumn="0" w:lastColumn="0" w:noHBand="0" w:noVBand="0"/>
      </w:tblPr>
      <w:tblGrid>
        <w:gridCol w:w="33"/>
        <w:gridCol w:w="2353"/>
        <w:gridCol w:w="1440"/>
        <w:gridCol w:w="1296"/>
        <w:gridCol w:w="2043"/>
        <w:gridCol w:w="32"/>
      </w:tblGrid>
      <w:tr w:rsidR="0045676C" w:rsidTr="002D433E">
        <w:trPr>
          <w:jc w:val="center"/>
        </w:trPr>
        <w:tc>
          <w:tcPr>
            <w:tcW w:w="2386" w:type="dxa"/>
            <w:gridSpan w:val="2"/>
            <w:tcBorders>
              <w:top w:val="single" w:sz="4" w:space="0" w:color="auto"/>
              <w:bottom w:val="single" w:sz="4" w:space="0" w:color="auto"/>
            </w:tcBorders>
            <w:shd w:val="clear" w:color="auto" w:fill="auto"/>
          </w:tcPr>
          <w:p w:rsidR="0045676C" w:rsidRDefault="002D433E"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1440" w:type="dxa"/>
            <w:tcBorders>
              <w:top w:val="single" w:sz="4" w:space="0" w:color="auto"/>
              <w:bottom w:val="single" w:sz="4" w:space="0" w:color="auto"/>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IC</w:t>
            </w:r>
          </w:p>
        </w:tc>
        <w:tc>
          <w:tcPr>
            <w:tcW w:w="1296" w:type="dxa"/>
            <w:tcBorders>
              <w:top w:val="single" w:sz="4" w:space="0" w:color="auto"/>
              <w:bottom w:val="single" w:sz="4" w:space="0" w:color="auto"/>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2075" w:type="dxa"/>
            <w:gridSpan w:val="2"/>
            <w:tcBorders>
              <w:top w:val="single" w:sz="4" w:space="0" w:color="auto"/>
              <w:bottom w:val="single" w:sz="4" w:space="0" w:color="auto"/>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WTP</w:t>
            </w:r>
          </w:p>
        </w:tc>
      </w:tr>
      <w:tr w:rsidR="0045676C" w:rsidTr="002D433E">
        <w:trPr>
          <w:jc w:val="center"/>
        </w:trPr>
        <w:tc>
          <w:tcPr>
            <w:tcW w:w="2386" w:type="dxa"/>
            <w:gridSpan w:val="2"/>
            <w:tcBorders>
              <w:top w:val="single" w:sz="4" w:space="0" w:color="auto"/>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w:t>
            </w:r>
          </w:p>
        </w:tc>
        <w:tc>
          <w:tcPr>
            <w:tcW w:w="1440" w:type="dxa"/>
            <w:tcBorders>
              <w:top w:val="single" w:sz="4" w:space="0" w:color="auto"/>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single" w:sz="4" w:space="0" w:color="auto"/>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2.257***</w:t>
            </w:r>
          </w:p>
        </w:tc>
        <w:tc>
          <w:tcPr>
            <w:tcW w:w="2075" w:type="dxa"/>
            <w:gridSpan w:val="2"/>
            <w:tcBorders>
              <w:top w:val="single" w:sz="4" w:space="0" w:color="auto"/>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(0.494)</w:t>
            </w: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ELOSS</w:t>
            </w: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0.350</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4.709**</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(0.331)</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(2.167)</w:t>
            </w: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w:t>
            </w: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-0.413*</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0.383</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(0.223)</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(0.610)</w:t>
            </w: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CFA</w:t>
            </w: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0.210</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-0.368</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(0.169)</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(0.237)</w:t>
            </w: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w:t>
            </w: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-0.114</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2.056</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(0.185)</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(1.762)</w:t>
            </w: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AMBIGU</w:t>
            </w: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0.305</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6.516*</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(0.584)</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(3.462)</w:t>
            </w: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INCOM12</w:t>
            </w: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-2.028**</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(0.845)</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INCOM34</w:t>
            </w: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-1.519***</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(0.543)</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AREA (in log)</w:t>
            </w: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0.239</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0.458</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(0.151)</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(1.091)</w:t>
            </w: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w:t>
            </w: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0.450</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-1.180</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(0.316)</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(1.682)</w:t>
            </w: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FIRE</w:t>
            </w: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0.745*</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(0.368)</w:t>
            </w: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-2.276**</w:t>
            </w: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0.370</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-1.078</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(0.324)</w:t>
            </w:r>
          </w:p>
        </w:tc>
        <w:tc>
          <w:tcPr>
            <w:tcW w:w="2075" w:type="dxa"/>
            <w:gridSpan w:val="2"/>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(4.029)</w:t>
            </w:r>
          </w:p>
        </w:tc>
      </w:tr>
      <w:tr w:rsidR="0045676C" w:rsidTr="002D433E">
        <w:trPr>
          <w:jc w:val="center"/>
        </w:trPr>
        <w:tc>
          <w:tcPr>
            <w:tcW w:w="2386" w:type="dxa"/>
            <w:gridSpan w:val="2"/>
            <w:tcBorders>
              <w:top w:val="nil"/>
              <w:bottom w:val="nil"/>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5A6BA3" w:rsidTr="002D433E">
        <w:tblPrEx>
          <w:tblBorders>
            <w:bottom w:val="none" w:sz="0" w:space="0" w:color="auto"/>
            <w:insideH w:val="none" w:sz="0" w:space="0" w:color="auto"/>
          </w:tblBorders>
        </w:tblPrEx>
        <w:trPr>
          <w:gridBefore w:val="1"/>
          <w:gridAfter w:val="1"/>
          <w:wBefore w:w="33" w:type="dxa"/>
          <w:wAfter w:w="32" w:type="dxa"/>
          <w:jc w:val="center"/>
        </w:trPr>
        <w:tc>
          <w:tcPr>
            <w:tcW w:w="2353" w:type="dxa"/>
            <w:tcBorders>
              <w:top w:val="nil"/>
              <w:left w:val="nil"/>
              <w:bottom w:val="nil"/>
              <w:right w:val="nil"/>
            </w:tcBorders>
          </w:tcPr>
          <w:p w:rsidR="005A6BA3" w:rsidRPr="00343204" w:rsidRDefault="005A6BA3" w:rsidP="000354F9">
            <w:pPr>
              <w:autoSpaceDE w:val="0"/>
              <w:autoSpaceDN w:val="0"/>
              <w:adjustRightInd w:val="0"/>
              <w:spacing w:after="120" w:line="480" w:lineRule="auto"/>
              <w:rPr>
                <w:rFonts w:ascii="Times New Roman" w:hAnsi="Times New Roman" w:cs="Times New Roman"/>
                <w:sz w:val="20"/>
                <w:szCs w:val="20"/>
                <w:lang w:val="en-GB"/>
              </w:rPr>
            </w:pPr>
            <w:r w:rsidRPr="00343204">
              <w:rPr>
                <w:rFonts w:ascii="Times New Roman" w:hAnsi="Times New Roman" w:cs="Times New Roman"/>
                <w:sz w:val="20"/>
                <w:szCs w:val="20"/>
                <w:lang w:val="en-GB"/>
              </w:rPr>
              <w:t>ln</w:t>
            </w:r>
            <m:oMath>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(σ</m:t>
                  </m:r>
                </m:e>
                <m:sub>
                  <m:r>
                    <w:rPr>
                      <w:rFonts w:ascii="Cambria Math" w:hAnsi="Cambria Math" w:cs="Times New Roman"/>
                      <w:sz w:val="20"/>
                      <w:szCs w:val="20"/>
                      <w:lang w:val="en-GB"/>
                    </w:rPr>
                    <m:t>W</m:t>
                  </m:r>
                </m:sub>
                <m:sup>
                  <m:r>
                    <w:rPr>
                      <w:rFonts w:ascii="Cambria Math" w:hAnsi="Cambria Math" w:cs="Times New Roman"/>
                      <w:sz w:val="20"/>
                      <w:szCs w:val="20"/>
                      <w:lang w:val="en-GB"/>
                    </w:rPr>
                    <m:t>2</m:t>
                  </m:r>
                </m:sup>
              </m:sSubSup>
              <m:r>
                <w:rPr>
                  <w:rFonts w:ascii="Cambria Math" w:hAnsi="Cambria Math" w:cs="Times New Roman"/>
                  <w:sz w:val="20"/>
                  <w:szCs w:val="20"/>
                  <w:lang w:val="en-GB"/>
                </w:rPr>
                <m:t>)</m:t>
              </m:r>
            </m:oMath>
          </w:p>
        </w:tc>
        <w:tc>
          <w:tcPr>
            <w:tcW w:w="1440"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1296"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2043"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r>
      <w:tr w:rsidR="005A6BA3" w:rsidTr="002D433E">
        <w:tblPrEx>
          <w:tblBorders>
            <w:bottom w:val="none" w:sz="0" w:space="0" w:color="auto"/>
            <w:insideH w:val="none" w:sz="0" w:space="0" w:color="auto"/>
          </w:tblBorders>
        </w:tblPrEx>
        <w:trPr>
          <w:gridBefore w:val="1"/>
          <w:gridAfter w:val="1"/>
          <w:wBefore w:w="33" w:type="dxa"/>
          <w:wAfter w:w="32" w:type="dxa"/>
          <w:jc w:val="center"/>
        </w:trPr>
        <w:tc>
          <w:tcPr>
            <w:tcW w:w="2353" w:type="dxa"/>
            <w:tcBorders>
              <w:top w:val="nil"/>
              <w:left w:val="nil"/>
              <w:bottom w:val="nil"/>
              <w:right w:val="nil"/>
            </w:tcBorders>
          </w:tcPr>
          <w:p w:rsidR="005A6BA3" w:rsidRDefault="005A6BA3" w:rsidP="000354F9">
            <w:pPr>
              <w:spacing w:after="120" w:line="480" w:lineRule="auto"/>
              <w:rPr>
                <w:rFonts w:ascii="Times New Roman" w:eastAsia="Times New Roman" w:hAnsi="Times New Roman" w:cs="Times New Roman"/>
                <w:sz w:val="20"/>
                <w:szCs w:val="20"/>
              </w:rPr>
            </w:pPr>
          </w:p>
        </w:tc>
        <w:tc>
          <w:tcPr>
            <w:tcW w:w="1440"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1296"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2043"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(0.457)</w:t>
            </w:r>
          </w:p>
        </w:tc>
      </w:tr>
      <w:tr w:rsidR="005A6BA3" w:rsidTr="002D433E">
        <w:tblPrEx>
          <w:tblBorders>
            <w:bottom w:val="none" w:sz="0" w:space="0" w:color="auto"/>
            <w:insideH w:val="none" w:sz="0" w:space="0" w:color="auto"/>
          </w:tblBorders>
        </w:tblPrEx>
        <w:trPr>
          <w:gridBefore w:val="1"/>
          <w:gridAfter w:val="1"/>
          <w:wBefore w:w="33" w:type="dxa"/>
          <w:wAfter w:w="32" w:type="dxa"/>
          <w:jc w:val="center"/>
        </w:trPr>
        <w:tc>
          <w:tcPr>
            <w:tcW w:w="2353" w:type="dxa"/>
            <w:tcBorders>
              <w:top w:val="nil"/>
              <w:left w:val="nil"/>
              <w:bottom w:val="nil"/>
              <w:right w:val="nil"/>
            </w:tcBorders>
          </w:tcPr>
          <w:p w:rsidR="005A6BA3" w:rsidRDefault="00EF3F5A" w:rsidP="000354F9">
            <w:pPr>
              <w:spacing w:after="120" w:line="480" w:lineRule="auto"/>
              <w:rPr>
                <w:rFonts w:ascii="Times New Roman" w:eastAsia="Times New Roman" w:hAnsi="Times New Roman" w:cs="Times New Roman"/>
                <w:sz w:val="20"/>
                <w:szCs w:val="20"/>
              </w:rPr>
            </w:pPr>
            <m:oMathPara>
              <m:oMathParaPr>
                <m:jc m:val="left"/>
              </m:oMathParaPr>
              <m:oMath>
                <m:sSub>
                  <m:sSubPr>
                    <m:ctrlPr>
                      <w:rPr>
                        <w:rFonts w:ascii="Cambria Math" w:eastAsia="Cambria" w:hAnsi="Cambria Math" w:cs="Cambria"/>
                        <w:sz w:val="20"/>
                        <w:szCs w:val="20"/>
                      </w:rPr>
                    </m:ctrlPr>
                  </m:sSubPr>
                  <m:e>
                    <m:r>
                      <m:rPr>
                        <m:sty m:val="p"/>
                      </m:rPr>
                      <w:rPr>
                        <w:rFonts w:ascii="Cambria Math" w:eastAsia="Cambria" w:hAnsi="Cambria Math" w:cs="Cambria"/>
                        <w:sz w:val="20"/>
                        <w:szCs w:val="20"/>
                      </w:rPr>
                      <m:t>artanh</m:t>
                    </m:r>
                    <m:r>
                      <w:rPr>
                        <w:rFonts w:ascii="Cambria Math" w:eastAsia="Cambria" w:hAnsi="Cambria Math" w:cs="Cambria"/>
                        <w:sz w:val="20"/>
                        <w:szCs w:val="20"/>
                      </w:rPr>
                      <m:t>(ρ</m:t>
                    </m:r>
                  </m:e>
                  <m:sub>
                    <m:r>
                      <w:rPr>
                        <w:rFonts w:ascii="Cambria Math" w:eastAsia="Cambria" w:hAnsi="Cambria Math" w:cs="Cambria"/>
                        <w:sz w:val="20"/>
                        <w:szCs w:val="20"/>
                      </w:rPr>
                      <m:t>CS</m:t>
                    </m:r>
                  </m:sub>
                </m:sSub>
                <m:r>
                  <w:rPr>
                    <w:rFonts w:ascii="Cambria Math" w:eastAsia="Cambria" w:hAnsi="Cambria Math" w:cs="Cambria"/>
                    <w:sz w:val="20"/>
                    <w:szCs w:val="20"/>
                  </w:rPr>
                  <m:t>)</m:t>
                </m:r>
              </m:oMath>
            </m:oMathPara>
          </w:p>
        </w:tc>
        <w:tc>
          <w:tcPr>
            <w:tcW w:w="1440"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-1.878*</w:t>
            </w:r>
          </w:p>
        </w:tc>
        <w:tc>
          <w:tcPr>
            <w:tcW w:w="1296"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2043"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r>
      <w:tr w:rsidR="005A6BA3" w:rsidTr="002D433E">
        <w:tblPrEx>
          <w:tblBorders>
            <w:bottom w:val="none" w:sz="0" w:space="0" w:color="auto"/>
            <w:insideH w:val="none" w:sz="0" w:space="0" w:color="auto"/>
          </w:tblBorders>
        </w:tblPrEx>
        <w:trPr>
          <w:gridBefore w:val="1"/>
          <w:gridAfter w:val="1"/>
          <w:wBefore w:w="33" w:type="dxa"/>
          <w:wAfter w:w="32" w:type="dxa"/>
          <w:jc w:val="center"/>
        </w:trPr>
        <w:tc>
          <w:tcPr>
            <w:tcW w:w="2353" w:type="dxa"/>
            <w:tcBorders>
              <w:top w:val="nil"/>
              <w:left w:val="nil"/>
              <w:bottom w:val="nil"/>
              <w:right w:val="nil"/>
            </w:tcBorders>
          </w:tcPr>
          <w:p w:rsidR="005A6BA3" w:rsidRDefault="005A6BA3" w:rsidP="000354F9">
            <w:pPr>
              <w:spacing w:after="120" w:line="480" w:lineRule="auto"/>
              <w:rPr>
                <w:rFonts w:ascii="Times New Roman" w:eastAsia="Times New Roman" w:hAnsi="Times New Roman" w:cs="Times New Roman"/>
                <w:sz w:val="20"/>
                <w:szCs w:val="20"/>
              </w:rPr>
            </w:pPr>
          </w:p>
        </w:tc>
        <w:tc>
          <w:tcPr>
            <w:tcW w:w="1440"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(1.103)</w:t>
            </w:r>
          </w:p>
        </w:tc>
        <w:tc>
          <w:tcPr>
            <w:tcW w:w="1296"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2043"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r>
      <w:tr w:rsidR="005A6BA3" w:rsidTr="002D433E">
        <w:tblPrEx>
          <w:tblBorders>
            <w:bottom w:val="none" w:sz="0" w:space="0" w:color="auto"/>
            <w:insideH w:val="none" w:sz="0" w:space="0" w:color="auto"/>
          </w:tblBorders>
        </w:tblPrEx>
        <w:trPr>
          <w:gridBefore w:val="1"/>
          <w:gridAfter w:val="1"/>
          <w:wBefore w:w="33" w:type="dxa"/>
          <w:wAfter w:w="32" w:type="dxa"/>
          <w:jc w:val="center"/>
        </w:trPr>
        <w:tc>
          <w:tcPr>
            <w:tcW w:w="2353" w:type="dxa"/>
            <w:tcBorders>
              <w:top w:val="nil"/>
              <w:left w:val="nil"/>
              <w:bottom w:val="nil"/>
              <w:right w:val="nil"/>
            </w:tcBorders>
          </w:tcPr>
          <w:p w:rsidR="005A6BA3" w:rsidRDefault="00EF3F5A" w:rsidP="000354F9">
            <w:pPr>
              <w:spacing w:after="120" w:line="480" w:lineRule="auto"/>
              <w:rPr>
                <w:rFonts w:ascii="Times New Roman" w:eastAsia="Times New Roman" w:hAnsi="Times New Roman" w:cs="Times New Roman"/>
                <w:sz w:val="20"/>
                <w:szCs w:val="20"/>
              </w:rPr>
            </w:pPr>
            <m:oMathPara>
              <m:oMathParaPr>
                <m:jc m:val="left"/>
              </m:oMathParaPr>
              <m:oMath>
                <m:sSub>
                  <m:sSubPr>
                    <m:ctrlPr>
                      <w:rPr>
                        <w:rFonts w:ascii="Cambria Math" w:eastAsia="Cambria" w:hAnsi="Cambria Math" w:cs="Cambria"/>
                        <w:sz w:val="20"/>
                        <w:szCs w:val="20"/>
                      </w:rPr>
                    </m:ctrlPr>
                  </m:sSubPr>
                  <m:e>
                    <m:r>
                      <m:rPr>
                        <m:sty m:val="p"/>
                      </m:rPr>
                      <w:rPr>
                        <w:rFonts w:ascii="Cambria Math" w:eastAsia="Cambria" w:hAnsi="Cambria Math" w:cs="Cambria"/>
                        <w:sz w:val="20"/>
                        <w:szCs w:val="20"/>
                      </w:rPr>
                      <m:t>artanh</m:t>
                    </m:r>
                    <m:r>
                      <w:rPr>
                        <w:rFonts w:ascii="Cambria Math" w:eastAsia="Cambria" w:hAnsi="Cambria Math" w:cs="Cambria"/>
                        <w:sz w:val="20"/>
                        <w:szCs w:val="20"/>
                      </w:rPr>
                      <m:t>(ρ</m:t>
                    </m:r>
                  </m:e>
                  <m:sub>
                    <m:r>
                      <w:rPr>
                        <w:rFonts w:ascii="Cambria Math" w:eastAsia="Cambria" w:hAnsi="Cambria Math" w:cs="Cambria"/>
                        <w:sz w:val="20"/>
                        <w:szCs w:val="20"/>
                      </w:rPr>
                      <m:t>CW</m:t>
                    </m:r>
                  </m:sub>
                </m:sSub>
                <m:r>
                  <w:rPr>
                    <w:rFonts w:ascii="Cambria Math" w:eastAsia="Cambria" w:hAnsi="Cambria Math" w:cs="Cambria"/>
                    <w:sz w:val="20"/>
                    <w:szCs w:val="20"/>
                  </w:rPr>
                  <m:t>)</m:t>
                </m:r>
              </m:oMath>
            </m:oMathPara>
          </w:p>
        </w:tc>
        <w:tc>
          <w:tcPr>
            <w:tcW w:w="1440"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0.0555</w:t>
            </w:r>
          </w:p>
        </w:tc>
        <w:tc>
          <w:tcPr>
            <w:tcW w:w="1296"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2043"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r>
      <w:tr w:rsidR="005A6BA3" w:rsidTr="002D433E">
        <w:tblPrEx>
          <w:tblBorders>
            <w:bottom w:val="none" w:sz="0" w:space="0" w:color="auto"/>
            <w:insideH w:val="none" w:sz="0" w:space="0" w:color="auto"/>
          </w:tblBorders>
        </w:tblPrEx>
        <w:trPr>
          <w:gridBefore w:val="1"/>
          <w:gridAfter w:val="1"/>
          <w:wBefore w:w="33" w:type="dxa"/>
          <w:wAfter w:w="32" w:type="dxa"/>
          <w:jc w:val="center"/>
        </w:trPr>
        <w:tc>
          <w:tcPr>
            <w:tcW w:w="2353" w:type="dxa"/>
            <w:tcBorders>
              <w:top w:val="nil"/>
              <w:left w:val="nil"/>
              <w:bottom w:val="nil"/>
              <w:right w:val="nil"/>
            </w:tcBorders>
          </w:tcPr>
          <w:p w:rsidR="005A6BA3" w:rsidRDefault="005A6BA3" w:rsidP="000354F9">
            <w:pPr>
              <w:spacing w:after="120" w:line="480" w:lineRule="auto"/>
              <w:rPr>
                <w:rFonts w:ascii="Times New Roman" w:eastAsia="Times New Roman" w:hAnsi="Times New Roman" w:cs="Times New Roman"/>
                <w:sz w:val="20"/>
                <w:szCs w:val="20"/>
              </w:rPr>
            </w:pPr>
          </w:p>
        </w:tc>
        <w:tc>
          <w:tcPr>
            <w:tcW w:w="1440"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(0.564)</w:t>
            </w:r>
          </w:p>
        </w:tc>
        <w:tc>
          <w:tcPr>
            <w:tcW w:w="1296"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2043" w:type="dxa"/>
            <w:tcBorders>
              <w:top w:val="nil"/>
              <w:left w:val="nil"/>
              <w:bottom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r>
      <w:tr w:rsidR="005A6BA3" w:rsidTr="002D433E">
        <w:tblPrEx>
          <w:tblBorders>
            <w:bottom w:val="none" w:sz="0" w:space="0" w:color="auto"/>
            <w:insideH w:val="none" w:sz="0" w:space="0" w:color="auto"/>
          </w:tblBorders>
        </w:tblPrEx>
        <w:trPr>
          <w:gridBefore w:val="1"/>
          <w:gridAfter w:val="1"/>
          <w:wBefore w:w="33" w:type="dxa"/>
          <w:wAfter w:w="32" w:type="dxa"/>
          <w:jc w:val="center"/>
        </w:trPr>
        <w:tc>
          <w:tcPr>
            <w:tcW w:w="2353" w:type="dxa"/>
            <w:tcBorders>
              <w:top w:val="nil"/>
              <w:left w:val="nil"/>
              <w:right w:val="nil"/>
            </w:tcBorders>
          </w:tcPr>
          <w:p w:rsidR="005A6BA3" w:rsidRDefault="00EF3F5A" w:rsidP="000354F9">
            <w:pPr>
              <w:spacing w:after="120" w:line="480" w:lineRule="auto"/>
              <w:rPr>
                <w:rFonts w:ascii="Times New Roman" w:eastAsia="Times New Roman" w:hAnsi="Times New Roman" w:cs="Times New Roman"/>
                <w:sz w:val="20"/>
                <w:szCs w:val="20"/>
              </w:rPr>
            </w:pPr>
            <m:oMathPara>
              <m:oMathParaPr>
                <m:jc m:val="left"/>
              </m:oMathParaPr>
              <m:oMath>
                <m:sSub>
                  <m:sSubPr>
                    <m:ctrlPr>
                      <w:rPr>
                        <w:rFonts w:ascii="Cambria Math" w:eastAsia="Cambria" w:hAnsi="Cambria Math" w:cs="Cambria"/>
                        <w:sz w:val="20"/>
                        <w:szCs w:val="20"/>
                      </w:rPr>
                    </m:ctrlPr>
                  </m:sSubPr>
                  <m:e>
                    <m:r>
                      <m:rPr>
                        <m:sty m:val="p"/>
                      </m:rPr>
                      <w:rPr>
                        <w:rFonts w:ascii="Cambria Math" w:eastAsia="Cambria" w:hAnsi="Cambria Math" w:cs="Cambria"/>
                        <w:sz w:val="20"/>
                        <w:szCs w:val="20"/>
                      </w:rPr>
                      <m:t>artanh</m:t>
                    </m:r>
                    <m:r>
                      <w:rPr>
                        <w:rFonts w:ascii="Cambria Math" w:eastAsia="Cambria" w:hAnsi="Cambria Math" w:cs="Cambria"/>
                        <w:sz w:val="20"/>
                        <w:szCs w:val="20"/>
                      </w:rPr>
                      <m:t>(ρ</m:t>
                    </m:r>
                  </m:e>
                  <m:sub>
                    <m:r>
                      <w:rPr>
                        <w:rFonts w:ascii="Cambria Math" w:eastAsia="Cambria" w:hAnsi="Cambria Math" w:cs="Cambria"/>
                        <w:sz w:val="20"/>
                        <w:szCs w:val="20"/>
                      </w:rPr>
                      <m:t>SW</m:t>
                    </m:r>
                  </m:sub>
                </m:sSub>
                <m:r>
                  <w:rPr>
                    <w:rFonts w:ascii="Cambria Math" w:eastAsia="Cambria" w:hAnsi="Cambria Math" w:cs="Cambria"/>
                    <w:sz w:val="20"/>
                    <w:szCs w:val="20"/>
                  </w:rPr>
                  <m:t>)</m:t>
                </m:r>
              </m:oMath>
            </m:oMathPara>
          </w:p>
        </w:tc>
        <w:tc>
          <w:tcPr>
            <w:tcW w:w="1440" w:type="dxa"/>
            <w:tcBorders>
              <w:top w:val="nil"/>
              <w:left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-0.362*</w:t>
            </w:r>
          </w:p>
          <w:p w:rsidR="005A6BA3" w:rsidRDefault="005A6BA3"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(0.200)</w:t>
            </w:r>
          </w:p>
        </w:tc>
        <w:tc>
          <w:tcPr>
            <w:tcW w:w="1296" w:type="dxa"/>
            <w:tcBorders>
              <w:top w:val="nil"/>
              <w:left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c>
          <w:tcPr>
            <w:tcW w:w="2043" w:type="dxa"/>
            <w:tcBorders>
              <w:top w:val="nil"/>
              <w:left w:val="nil"/>
              <w:right w:val="nil"/>
            </w:tcBorders>
          </w:tcPr>
          <w:p w:rsidR="005A6BA3" w:rsidRDefault="005A6BA3"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single" w:sz="4" w:space="0" w:color="auto"/>
            </w:tcBorders>
            <w:shd w:val="clear" w:color="auto" w:fill="auto"/>
          </w:tcPr>
          <w:p w:rsidR="0045676C" w:rsidRDefault="0045676C" w:rsidP="000354F9">
            <w:pPr>
              <w:spacing w:after="120" w:line="480" w:lineRule="auto"/>
              <w:rPr>
                <w:rFonts w:ascii="Times New Roman" w:eastAsia="Times New Roman" w:hAnsi="Times New Roman" w:cs="Times New Roman"/>
                <w:sz w:val="20"/>
                <w:szCs w:val="20"/>
              </w:rPr>
            </w:pPr>
          </w:p>
        </w:tc>
        <w:tc>
          <w:tcPr>
            <w:tcW w:w="1440" w:type="dxa"/>
            <w:tcBorders>
              <w:top w:val="nil"/>
              <w:bottom w:val="single" w:sz="4" w:space="0" w:color="auto"/>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single" w:sz="4" w:space="0" w:color="auto"/>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2075" w:type="dxa"/>
            <w:gridSpan w:val="2"/>
            <w:tcBorders>
              <w:top w:val="nil"/>
              <w:bottom w:val="single" w:sz="4" w:space="0" w:color="auto"/>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w:t>
            </w: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nil"/>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successful Jackknife replications</w:t>
            </w:r>
          </w:p>
        </w:tc>
        <w:tc>
          <w:tcPr>
            <w:tcW w:w="1440" w:type="dxa"/>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nil"/>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075" w:type="dxa"/>
            <w:gridSpan w:val="2"/>
            <w:tcBorders>
              <w:top w:val="nil"/>
              <w:bottom w:val="nil"/>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jc w:val="center"/>
        </w:trPr>
        <w:tc>
          <w:tcPr>
            <w:tcW w:w="2386" w:type="dxa"/>
            <w:gridSpan w:val="2"/>
            <w:tcBorders>
              <w:top w:val="nil"/>
              <w:bottom w:val="single" w:sz="4" w:space="0" w:color="auto"/>
            </w:tcBorders>
            <w:shd w:val="clear" w:color="auto" w:fill="auto"/>
          </w:tcPr>
          <w:p w:rsidR="0045676C" w:rsidRDefault="002E379A" w:rsidP="000354F9">
            <w:pPr>
              <w:spacing w:after="12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 pseudo-likelihood</w:t>
            </w:r>
          </w:p>
        </w:tc>
        <w:tc>
          <w:tcPr>
            <w:tcW w:w="1440" w:type="dxa"/>
            <w:tcBorders>
              <w:top w:val="nil"/>
              <w:bottom w:val="single" w:sz="4" w:space="0" w:color="auto"/>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c>
          <w:tcPr>
            <w:tcW w:w="1296" w:type="dxa"/>
            <w:tcBorders>
              <w:top w:val="nil"/>
              <w:bottom w:val="single" w:sz="4" w:space="0" w:color="auto"/>
            </w:tcBorders>
            <w:shd w:val="clear" w:color="auto" w:fill="auto"/>
          </w:tcPr>
          <w:p w:rsidR="0045676C" w:rsidRDefault="002E379A" w:rsidP="000354F9">
            <w:pPr>
              <w:spacing w:after="12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-1213</w:t>
            </w:r>
          </w:p>
        </w:tc>
        <w:tc>
          <w:tcPr>
            <w:tcW w:w="2075" w:type="dxa"/>
            <w:gridSpan w:val="2"/>
            <w:tcBorders>
              <w:top w:val="nil"/>
              <w:bottom w:val="single" w:sz="4" w:space="0" w:color="auto"/>
            </w:tcBorders>
            <w:shd w:val="clear" w:color="auto" w:fill="auto"/>
          </w:tcPr>
          <w:p w:rsidR="0045676C" w:rsidRDefault="0045676C" w:rsidP="000354F9">
            <w:pPr>
              <w:spacing w:after="120" w:line="480" w:lineRule="auto"/>
              <w:jc w:val="center"/>
              <w:rPr>
                <w:rFonts w:ascii="Times New Roman" w:eastAsia="Times New Roman" w:hAnsi="Times New Roman" w:cs="Times New Roman"/>
                <w:sz w:val="20"/>
                <w:szCs w:val="20"/>
              </w:rPr>
            </w:pPr>
          </w:p>
        </w:tc>
      </w:tr>
      <w:tr w:rsidR="0045676C" w:rsidTr="002D433E">
        <w:trPr>
          <w:trHeight w:val="200"/>
          <w:jc w:val="center"/>
        </w:trPr>
        <w:tc>
          <w:tcPr>
            <w:tcW w:w="7197" w:type="dxa"/>
            <w:gridSpan w:val="6"/>
            <w:tcBorders>
              <w:top w:val="single" w:sz="4" w:space="0" w:color="auto"/>
              <w:bottom w:val="nil"/>
            </w:tcBorders>
            <w:shd w:val="clear" w:color="auto" w:fill="auto"/>
          </w:tcPr>
          <w:p w:rsidR="0045676C" w:rsidRDefault="002E379A" w:rsidP="002D433E">
            <w:pPr>
              <w:spacing w:after="12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Jackknife robust standard errors in parentheses (adjusted for 40 clusters in individuals).</w:t>
            </w:r>
            <w:r w:rsidR="002D43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Significance levels: *** p&lt;0.01, ** p&lt;0.05, * p&lt;0.1.</w:t>
            </w:r>
            <w:r w:rsidR="002D43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Likelihood-ratio tests from pseudo-likelihoods are invalid and thus not computed here.</w:t>
            </w:r>
          </w:p>
        </w:tc>
      </w:tr>
    </w:tbl>
    <w:p w:rsidR="0045676C" w:rsidRDefault="0045676C" w:rsidP="000354F9">
      <w:pPr>
        <w:spacing w:after="120" w:line="480" w:lineRule="auto"/>
        <w:jc w:val="both"/>
        <w:rPr>
          <w:rFonts w:ascii="Times New Roman" w:eastAsia="Times New Roman" w:hAnsi="Times New Roman" w:cs="Times New Roman"/>
          <w:sz w:val="24"/>
          <w:szCs w:val="24"/>
        </w:rPr>
      </w:pP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First, we observed that results are similar for the real insurance decision (</w:t>
      </w:r>
      <w:r>
        <w:rPr>
          <w:rFonts w:ascii="Times New Roman" w:eastAsia="Times New Roman" w:hAnsi="Times New Roman" w:cs="Times New Roman"/>
          <w:i/>
          <w:sz w:val="24"/>
          <w:szCs w:val="24"/>
        </w:rPr>
        <w:t>IC</w:t>
      </w:r>
      <w:r>
        <w:rPr>
          <w:rFonts w:ascii="Times New Roman" w:eastAsia="Times New Roman" w:hAnsi="Times New Roman" w:cs="Times New Roman"/>
          <w:sz w:val="24"/>
          <w:szCs w:val="24"/>
        </w:rPr>
        <w:t xml:space="preserve"> equation) to those obtained from the first model presented in Table 5. Second, we also notice that results for the WTP equation in Table 6 are almost identical to those presented in Table 5 except for the variable </w:t>
      </w:r>
      <w:r>
        <w:rPr>
          <w:rFonts w:ascii="Times New Roman" w:eastAsia="Times New Roman" w:hAnsi="Times New Roman" w:cs="Times New Roman"/>
          <w:i/>
          <w:sz w:val="24"/>
          <w:szCs w:val="24"/>
        </w:rPr>
        <w:t>FA</w:t>
      </w:r>
      <w:r>
        <w:rPr>
          <w:rFonts w:ascii="Times New Roman" w:eastAsia="Times New Roman" w:hAnsi="Times New Roman" w:cs="Times New Roman"/>
          <w:sz w:val="24"/>
          <w:szCs w:val="24"/>
        </w:rPr>
        <w:t xml:space="preserve">. Indeed, it appears that </w:t>
      </w:r>
      <w:r>
        <w:rPr>
          <w:rFonts w:ascii="Times New Roman" w:eastAsia="Times New Roman" w:hAnsi="Times New Roman" w:cs="Times New Roman"/>
          <w:i/>
          <w:sz w:val="24"/>
          <w:szCs w:val="24"/>
        </w:rPr>
        <w:t xml:space="preserve">FA </w:t>
      </w:r>
      <w:r>
        <w:rPr>
          <w:rFonts w:ascii="Times New Roman" w:eastAsia="Times New Roman" w:hAnsi="Times New Roman" w:cs="Times New Roman"/>
          <w:sz w:val="24"/>
          <w:szCs w:val="24"/>
        </w:rPr>
        <w:t xml:space="preserve">is no longer significant for the WTP equation but it becomes relevant for the selection equation.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selection equation is not a participation equation </w:t>
      </w:r>
      <w:proofErr w:type="spellStart"/>
      <w:r>
        <w:rPr>
          <w:rFonts w:ascii="Times New Roman" w:eastAsia="Times New Roman" w:hAnsi="Times New Roman" w:cs="Times New Roman"/>
          <w:i/>
          <w:sz w:val="24"/>
          <w:szCs w:val="24"/>
        </w:rPr>
        <w:t>stricto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sensu</w:t>
      </w:r>
      <w:proofErr w:type="spellEnd"/>
      <w:r>
        <w:rPr>
          <w:rFonts w:ascii="Times New Roman" w:eastAsia="Times New Roman" w:hAnsi="Times New Roman" w:cs="Times New Roman"/>
          <w:sz w:val="24"/>
          <w:szCs w:val="24"/>
        </w:rPr>
        <w:t xml:space="preserve"> since each forest owner is supposed to pay a positive amount to be fully insured at a fair rate under expected utility. This could be viewed as an explanation to consistently behave as an expected utility maximizer or not (including the phenomenon of protest responses). Consequently, it is not surprising that the variable </w:t>
      </w:r>
      <w:r>
        <w:rPr>
          <w:rFonts w:ascii="Times New Roman" w:eastAsia="Times New Roman" w:hAnsi="Times New Roman" w:cs="Times New Roman"/>
          <w:i/>
          <w:sz w:val="24"/>
          <w:szCs w:val="24"/>
        </w:rPr>
        <w:t>FA</w:t>
      </w:r>
      <w:r>
        <w:rPr>
          <w:rFonts w:ascii="Times New Roman" w:eastAsia="Times New Roman" w:hAnsi="Times New Roman" w:cs="Times New Roman"/>
          <w:sz w:val="24"/>
          <w:szCs w:val="24"/>
        </w:rPr>
        <w:t xml:space="preserve"> appears significant and negative. Indeed, a fixed assistance discourages owners from paying for a fair insurance contract. This empirical result is consistent with the theoretical conclusion that government assistance reduces the incentive to insure (</w:t>
      </w:r>
      <w:proofErr w:type="spellStart"/>
      <w:r>
        <w:rPr>
          <w:rFonts w:ascii="Times New Roman" w:eastAsia="Times New Roman" w:hAnsi="Times New Roman" w:cs="Times New Roman"/>
          <w:sz w:val="24"/>
          <w:szCs w:val="24"/>
        </w:rPr>
        <w:t>Kaplow</w:t>
      </w:r>
      <w:proofErr w:type="spellEnd"/>
      <w:r>
        <w:rPr>
          <w:rFonts w:ascii="Times New Roman" w:eastAsia="Times New Roman" w:hAnsi="Times New Roman" w:cs="Times New Roman"/>
          <w:sz w:val="24"/>
          <w:szCs w:val="24"/>
        </w:rPr>
        <w:t xml:space="preserve"> 1991; </w:t>
      </w:r>
      <w:proofErr w:type="spellStart"/>
      <w:r>
        <w:rPr>
          <w:rFonts w:ascii="Times New Roman" w:eastAsia="Times New Roman" w:hAnsi="Times New Roman" w:cs="Times New Roman"/>
          <w:sz w:val="24"/>
          <w:szCs w:val="24"/>
        </w:rPr>
        <w:t>Coate</w:t>
      </w:r>
      <w:proofErr w:type="spellEnd"/>
      <w:r>
        <w:rPr>
          <w:rFonts w:ascii="Times New Roman" w:eastAsia="Times New Roman" w:hAnsi="Times New Roman" w:cs="Times New Roman"/>
          <w:sz w:val="24"/>
          <w:szCs w:val="24"/>
        </w:rPr>
        <w:t xml:space="preserve"> 1995; Kim and Schlesinger 2005; </w:t>
      </w:r>
      <w:proofErr w:type="spellStart"/>
      <w:r>
        <w:rPr>
          <w:rFonts w:ascii="Times New Roman" w:eastAsia="Times New Roman" w:hAnsi="Times New Roman" w:cs="Times New Roman"/>
          <w:sz w:val="24"/>
          <w:szCs w:val="24"/>
        </w:rPr>
        <w:t>Raschky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Weck-Hannemann</w:t>
      </w:r>
      <w:proofErr w:type="spellEnd"/>
      <w:r>
        <w:rPr>
          <w:rFonts w:ascii="Times New Roman" w:eastAsia="Times New Roman" w:hAnsi="Times New Roman" w:cs="Times New Roman"/>
          <w:sz w:val="24"/>
          <w:szCs w:val="24"/>
        </w:rPr>
        <w:t xml:space="preserve"> 2007; Brunette and Couture 2008). This result may reflect the so-called “Charity Hazard” defined by Browne and Hoyt (2000),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the tendency of individuals to rely on public support rather than undertaking risk-reducing or risk-sharing actions.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variable related to the real insurance decision (</w:t>
      </w:r>
      <w:r>
        <w:rPr>
          <w:rFonts w:ascii="Times New Roman" w:eastAsia="Times New Roman" w:hAnsi="Times New Roman" w:cs="Times New Roman"/>
          <w:i/>
          <w:sz w:val="24"/>
          <w:szCs w:val="24"/>
        </w:rPr>
        <w:t>IC</w:t>
      </w:r>
      <w:r>
        <w:rPr>
          <w:rFonts w:ascii="Times New Roman" w:eastAsia="Times New Roman" w:hAnsi="Times New Roman" w:cs="Times New Roman"/>
          <w:sz w:val="24"/>
          <w:szCs w:val="24"/>
        </w:rPr>
        <w:t xml:space="preserve">) is significant and positive. It is obvious that choosing to be insured in the real life has a positive and significant effect on behaving consistently with expected utility (or choosing not to protest). Note that because </w:t>
      </w:r>
      <w:r>
        <w:rPr>
          <w:rFonts w:ascii="Times New Roman" w:eastAsia="Times New Roman" w:hAnsi="Times New Roman" w:cs="Times New Roman"/>
          <w:i/>
          <w:sz w:val="24"/>
          <w:szCs w:val="24"/>
        </w:rPr>
        <w:t>IC</w:t>
      </w:r>
      <w:r>
        <w:rPr>
          <w:rFonts w:ascii="Times New Roman" w:eastAsia="Times New Roman" w:hAnsi="Times New Roman" w:cs="Times New Roman"/>
          <w:sz w:val="24"/>
          <w:szCs w:val="24"/>
        </w:rPr>
        <w:t xml:space="preserve"> appears in the selection equation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there is also (potentially) an indirect effect transmitted to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through the impact of the factors (such as the income variables and FIRE) on the probability that </w:t>
      </w:r>
      <w:r>
        <w:rPr>
          <w:rFonts w:ascii="Times New Roman" w:eastAsia="Times New Roman" w:hAnsi="Times New Roman" w:cs="Times New Roman"/>
          <w:i/>
          <w:sz w:val="24"/>
          <w:szCs w:val="24"/>
        </w:rPr>
        <w:t>IC</w:t>
      </w:r>
      <w:r>
        <w:rPr>
          <w:rFonts w:ascii="Times New Roman" w:eastAsia="Times New Roman" w:hAnsi="Times New Roman" w:cs="Times New Roman"/>
          <w:sz w:val="24"/>
          <w:szCs w:val="24"/>
        </w:rPr>
        <w:t xml:space="preserve"> equals one (Greene 2008).</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look for potential correlations between the error terms of the three equations. We observe that the correlation coefficient </w:t>
      </w:r>
      <m:oMath>
        <m:sSub>
          <m:sSubPr>
            <m:ctrlPr>
              <w:rPr>
                <w:rFonts w:ascii="Cambria Math" w:hAnsi="Cambria Math"/>
                <w:sz w:val="24"/>
              </w:rPr>
            </m:ctrlPr>
          </m:sSubPr>
          <m:e>
            <m:r>
              <w:rPr>
                <w:rFonts w:ascii="Cambria Math" w:hAnsi="Cambria Math"/>
                <w:sz w:val="24"/>
              </w:rPr>
              <m:t>ρ</m:t>
            </m:r>
          </m:e>
          <m:sub>
            <m:r>
              <w:rPr>
                <w:rFonts w:ascii="Cambria Math" w:hAnsi="Cambria Math"/>
                <w:sz w:val="24"/>
              </w:rPr>
              <m:t>CS</m:t>
            </m:r>
          </m:sub>
        </m:sSub>
      </m:oMath>
      <w:r w:rsidRPr="005A6BA3">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 xml:space="preserve">is significantly different from zero, suggesting that the </w:t>
      </w:r>
      <w:r>
        <w:rPr>
          <w:rFonts w:ascii="Times New Roman" w:eastAsia="Times New Roman" w:hAnsi="Times New Roman" w:cs="Times New Roman"/>
          <w:sz w:val="24"/>
          <w:szCs w:val="24"/>
        </w:rPr>
        <w:lastRenderedPageBreak/>
        <w:t xml:space="preserve">variable </w:t>
      </w:r>
      <w:r>
        <w:rPr>
          <w:rFonts w:ascii="Times New Roman" w:eastAsia="Times New Roman" w:hAnsi="Times New Roman" w:cs="Times New Roman"/>
          <w:i/>
          <w:sz w:val="24"/>
          <w:szCs w:val="24"/>
        </w:rPr>
        <w:t xml:space="preserve">IC </w:t>
      </w:r>
      <w:r>
        <w:rPr>
          <w:rFonts w:ascii="Times New Roman" w:eastAsia="Times New Roman" w:hAnsi="Times New Roman" w:cs="Times New Roman"/>
          <w:sz w:val="24"/>
          <w:szCs w:val="24"/>
        </w:rPr>
        <w:t xml:space="preserve">is endogenous in the selection equation. Moreover, the negative sign of the coefficient shows that there exists unobservable heterogeneity related to owner’s preferences reducing the probability to behave as an expected utility maximizer, and thus relevant to explain zero values of </w:t>
      </w:r>
      <w:r>
        <w:rPr>
          <w:rFonts w:ascii="Times New Roman" w:eastAsia="Times New Roman" w:hAnsi="Times New Roman" w:cs="Times New Roman"/>
          <w:i/>
          <w:sz w:val="24"/>
          <w:szCs w:val="24"/>
        </w:rPr>
        <w:t>WTP</w:t>
      </w:r>
      <w:r>
        <w:rPr>
          <w:rFonts w:ascii="Times New Roman" w:eastAsia="Times New Roman" w:hAnsi="Times New Roman" w:cs="Times New Roman"/>
          <w:sz w:val="24"/>
          <w:szCs w:val="24"/>
        </w:rPr>
        <w:t xml:space="preserve">. Similarly, the correlation coefficient </w:t>
      </w:r>
      <m:oMath>
        <m:sSub>
          <m:sSubPr>
            <m:ctrlPr>
              <w:rPr>
                <w:rFonts w:ascii="Cambria Math" w:hAnsi="Cambria Math"/>
                <w:sz w:val="24"/>
              </w:rPr>
            </m:ctrlPr>
          </m:sSubPr>
          <m:e>
            <m:r>
              <w:rPr>
                <w:rFonts w:ascii="Cambria Math" w:hAnsi="Cambria Math"/>
                <w:sz w:val="24"/>
              </w:rPr>
              <m:t>ρ</m:t>
            </m:r>
          </m:e>
          <m:sub>
            <m:r>
              <w:rPr>
                <w:rFonts w:ascii="Cambria Math" w:hAnsi="Cambria Math"/>
                <w:sz w:val="24"/>
              </w:rPr>
              <m:t>CW</m:t>
            </m:r>
          </m:sub>
        </m:sSub>
      </m:oMath>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between the disturbances of the selection equation and the WTP equation is negative and significant, validating the existence of a selection bias and by the way the merits of our second model. In turn we conclude in favor of non-standard behavior to explain zero WTP and possibly the low propensity to buy insurance against forest fire. </w:t>
      </w:r>
    </w:p>
    <w:p w:rsidR="0045676C" w:rsidRDefault="002E379A" w:rsidP="000354F9">
      <w:pPr>
        <w:numPr>
          <w:ilvl w:val="0"/>
          <w:numId w:val="1"/>
        </w:numPr>
        <w:spacing w:after="120" w:line="480" w:lineRule="auto"/>
        <w:ind w:left="284" w:hanging="2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an</w:t>
      </w:r>
      <w:r w:rsidR="001C6E4D">
        <w:rPr>
          <w:rFonts w:ascii="Times New Roman" w:eastAsia="Times New Roman" w:hAnsi="Times New Roman" w:cs="Times New Roman"/>
          <w:b/>
          <w:sz w:val="24"/>
          <w:szCs w:val="24"/>
        </w:rPr>
        <w:t>d conclusion</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against natural events has been advocated as a potential adaptation option to face increasing disturbances due to climate change. However, recent empirical studies based on either real or hypothetical data reveal a very low share of total forest area is insured. It also indicates that many important factors impact the forest insurance demand. However, there is only a limited knowledge on forest owners’ WTPs for insurance and the</w:t>
      </w:r>
      <w:r w:rsidR="005A6BA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corresponding determinants. Our paper contributes to this issue in </w:t>
      </w:r>
      <w:r w:rsidR="005A6BA3">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ways.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we know that climate change will impact natural hazards occurrence but clearly we do not know in which way. By introducing some uncertainty about the annual fire occurrence probability, we try to apprehend this ambiguous impact of climate change on the occurrence of natural disturbances. We observe that this ambiguity leads to an increase in the willingness-to-pay for insurance. Then, in a near future, we can expect the insurance demand to increase. However, keep in mind that as the uncertainty increases, the question of insurability of natural event may also be asked. Such a result also highlights the need for future research concerning ambiguity aversion of forest owners that may be a new factor impacting their WTPs for insurance.</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our results indicate that the expected loss has a significant and positive impact on WTP. This expected loss is composed of the probability of occurrence of the negative event and the potential damage. Under the influence of climate change, frequency and intensity of natural events are expected to increase and then, the forest owner’s expected loss too. An increase in the insurance demand should be observed.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one of the major challenges in the idea of coupling insurance and climate change adaptation is to clearly define the public-private partnerships and then, the role of the State in such a scheme (Mills 2007). In this paper, we show that a fixed assistance, as implemented in France after windstorm </w:t>
      </w:r>
      <w:proofErr w:type="spellStart"/>
      <w:r>
        <w:rPr>
          <w:rFonts w:ascii="Times New Roman" w:eastAsia="Times New Roman" w:hAnsi="Times New Roman" w:cs="Times New Roman"/>
          <w:sz w:val="24"/>
          <w:szCs w:val="24"/>
        </w:rPr>
        <w:t>Lothar</w:t>
      </w:r>
      <w:proofErr w:type="spellEnd"/>
      <w:r>
        <w:rPr>
          <w:rFonts w:ascii="Times New Roman" w:eastAsia="Times New Roman" w:hAnsi="Times New Roman" w:cs="Times New Roman"/>
          <w:sz w:val="24"/>
          <w:szCs w:val="24"/>
        </w:rPr>
        <w:t xml:space="preserve"> in 1999 and Klaus in 2009, discourages</w:t>
      </w:r>
      <w:r w:rsidR="005A6BA3">
        <w:rPr>
          <w:rFonts w:ascii="Times New Roman" w:eastAsia="Times New Roman" w:hAnsi="Times New Roman" w:cs="Times New Roman"/>
          <w:sz w:val="24"/>
          <w:szCs w:val="24"/>
        </w:rPr>
        <w:t xml:space="preserve"> the forest owner to be willing to </w:t>
      </w:r>
      <w:r>
        <w:rPr>
          <w:rFonts w:ascii="Times New Roman" w:eastAsia="Times New Roman" w:hAnsi="Times New Roman" w:cs="Times New Roman"/>
          <w:sz w:val="24"/>
          <w:szCs w:val="24"/>
        </w:rPr>
        <w:t xml:space="preserve">pay for insurance. We also obtain that the contingent fixed assistance </w:t>
      </w:r>
      <w:r w:rsidR="005A6BA3">
        <w:rPr>
          <w:rFonts w:ascii="Times New Roman" w:eastAsia="Times New Roman" w:hAnsi="Times New Roman" w:cs="Times New Roman"/>
          <w:sz w:val="24"/>
          <w:szCs w:val="24"/>
        </w:rPr>
        <w:t>has no significant</w:t>
      </w:r>
      <w:r>
        <w:rPr>
          <w:rFonts w:ascii="Times New Roman" w:eastAsia="Times New Roman" w:hAnsi="Times New Roman" w:cs="Times New Roman"/>
          <w:sz w:val="24"/>
          <w:szCs w:val="24"/>
        </w:rPr>
        <w:t xml:space="preserve"> impac</w:t>
      </w:r>
      <w:r w:rsidR="005A6BA3">
        <w:rPr>
          <w:rFonts w:ascii="Times New Roman" w:eastAsia="Times New Roman" w:hAnsi="Times New Roman" w:cs="Times New Roman"/>
          <w:sz w:val="24"/>
          <w:szCs w:val="24"/>
        </w:rPr>
        <w:t xml:space="preserve">t on the probability of willing to </w:t>
      </w:r>
      <w:r>
        <w:rPr>
          <w:rFonts w:ascii="Times New Roman" w:eastAsia="Times New Roman" w:hAnsi="Times New Roman" w:cs="Times New Roman"/>
          <w:sz w:val="24"/>
          <w:szCs w:val="24"/>
        </w:rPr>
        <w:t xml:space="preserve">pay a positive insurance amount. Finally, we also test for Insurance Subsidy but such a public assistance seems to be never relevant in the two models. In this paper we focus on a subsidy of 50% of the insurance premium for the owner, but perhaps other type of subsidy may be relevant. For example, we can imagine that the public subsidy would be received by the insurer, so that she can reduce the insurance premium. The implementation of co-insurance contracts with the insurer, Government and the forest owner taking each in charge a predefined percentage of the risk may be another potential solution. Research should be conducted in this direction. </w:t>
      </w:r>
    </w:p>
    <w:p w:rsidR="0045676C" w:rsidRDefault="002E379A" w:rsidP="000028AF">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parallel, since January 2017, the French government has decided that public assistance will never be available in the future in case of natural hazard occurrence. Then, the only possibility for the private forest owners to be indemnified in case of natural event occurrence is the private insurance market. Such a political decision allows thinking that insurance demand should increase in the near future. </w:t>
      </w:r>
      <w:r>
        <w:br w:type="page"/>
      </w:r>
    </w:p>
    <w:p w:rsidR="0045676C" w:rsidRDefault="002E379A" w:rsidP="000354F9">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Alary D, </w:t>
      </w:r>
      <w:proofErr w:type="spellStart"/>
      <w:r>
        <w:rPr>
          <w:rFonts w:ascii="Times New Roman" w:eastAsia="Times New Roman" w:hAnsi="Times New Roman" w:cs="Times New Roman"/>
          <w:sz w:val="24"/>
          <w:szCs w:val="24"/>
        </w:rPr>
        <w:t>Gollier</w:t>
      </w:r>
      <w:proofErr w:type="spellEnd"/>
      <w:r>
        <w:rPr>
          <w:rFonts w:ascii="Times New Roman" w:eastAsia="Times New Roman" w:hAnsi="Times New Roman" w:cs="Times New Roman"/>
          <w:sz w:val="24"/>
          <w:szCs w:val="24"/>
        </w:rPr>
        <w:t xml:space="preserve"> C, Treich N (2013)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effect of ambiguity aversion on insurance and self-protection. The Economic Journal 123(573):1188–1202</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Barreal</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Loureiro</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Picos</w:t>
      </w:r>
      <w:proofErr w:type="spellEnd"/>
      <w:r>
        <w:rPr>
          <w:rFonts w:ascii="Times New Roman" w:eastAsia="Times New Roman" w:hAnsi="Times New Roman" w:cs="Times New Roman"/>
          <w:sz w:val="24"/>
          <w:szCs w:val="24"/>
        </w:rPr>
        <w:t xml:space="preserve"> J (2014)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insurance as a tool for securing forest restoration after wildfires. Forest Policy and Economics 42:15–23</w:t>
      </w:r>
    </w:p>
    <w:p w:rsidR="0045676C" w:rsidRDefault="002E379A" w:rsidP="000354F9">
      <w:pPr>
        <w:spacing w:after="120" w:line="480" w:lineRule="auto"/>
        <w:jc w:val="both"/>
        <w:rPr>
          <w:rFonts w:ascii="Times New Roman" w:eastAsia="Times New Roman" w:hAnsi="Times New Roman" w:cs="Times New Roman"/>
          <w:color w:val="00B050"/>
          <w:sz w:val="24"/>
          <w:szCs w:val="24"/>
        </w:rPr>
      </w:pPr>
      <w:proofErr w:type="spellStart"/>
      <w:r>
        <w:rPr>
          <w:rFonts w:ascii="Times New Roman" w:eastAsia="Times New Roman" w:hAnsi="Times New Roman" w:cs="Times New Roman"/>
          <w:sz w:val="24"/>
          <w:szCs w:val="24"/>
        </w:rPr>
        <w:t>Bolte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Ammer</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Löf</w:t>
      </w:r>
      <w:proofErr w:type="spellEnd"/>
      <w:r>
        <w:rPr>
          <w:rFonts w:ascii="Times New Roman" w:eastAsia="Times New Roman" w:hAnsi="Times New Roman" w:cs="Times New Roman"/>
          <w:sz w:val="24"/>
          <w:szCs w:val="24"/>
        </w:rPr>
        <w:t xml:space="preserve"> M, Madsen P, </w:t>
      </w:r>
      <w:proofErr w:type="spellStart"/>
      <w:r>
        <w:rPr>
          <w:rFonts w:ascii="Times New Roman" w:eastAsia="Times New Roman" w:hAnsi="Times New Roman" w:cs="Times New Roman"/>
          <w:sz w:val="24"/>
          <w:szCs w:val="24"/>
        </w:rPr>
        <w:t>Nabuurs</w:t>
      </w:r>
      <w:proofErr w:type="spellEnd"/>
      <w:r>
        <w:rPr>
          <w:rFonts w:ascii="Times New Roman" w:eastAsia="Times New Roman" w:hAnsi="Times New Roman" w:cs="Times New Roman"/>
          <w:sz w:val="24"/>
          <w:szCs w:val="24"/>
        </w:rPr>
        <w:t xml:space="preserve"> GJ, </w:t>
      </w:r>
      <w:proofErr w:type="spellStart"/>
      <w:r>
        <w:rPr>
          <w:rFonts w:ascii="Times New Roman" w:eastAsia="Times New Roman" w:hAnsi="Times New Roman" w:cs="Times New Roman"/>
          <w:sz w:val="24"/>
          <w:szCs w:val="24"/>
        </w:rPr>
        <w:t>Schall</w:t>
      </w:r>
      <w:proofErr w:type="spellEnd"/>
      <w:r>
        <w:rPr>
          <w:rFonts w:ascii="Times New Roman" w:eastAsia="Times New Roman" w:hAnsi="Times New Roman" w:cs="Times New Roman"/>
          <w:sz w:val="24"/>
          <w:szCs w:val="24"/>
        </w:rPr>
        <w:t xml:space="preserve"> P, </w:t>
      </w:r>
      <w:proofErr w:type="spellStart"/>
      <w:proofErr w:type="gramStart"/>
      <w:r>
        <w:rPr>
          <w:rFonts w:ascii="Times New Roman" w:eastAsia="Times New Roman" w:hAnsi="Times New Roman" w:cs="Times New Roman"/>
          <w:sz w:val="24"/>
          <w:szCs w:val="24"/>
        </w:rPr>
        <w:t>Spathelf</w:t>
      </w:r>
      <w:proofErr w:type="spellEnd"/>
      <w:proofErr w:type="gramEnd"/>
      <w:r>
        <w:rPr>
          <w:rFonts w:ascii="Times New Roman" w:eastAsia="Times New Roman" w:hAnsi="Times New Roman" w:cs="Times New Roman"/>
          <w:sz w:val="24"/>
          <w:szCs w:val="24"/>
        </w:rPr>
        <w:t xml:space="preserve"> P, Rock J (2009) Adaptive forest management in central Europe: Climate change impacts, strategies and integrative concept. Scandinavian Journal of Forest Research 24(6):473-482</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Browne MJ, Hoyt RE (2000)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demand for flood insurance: Empirical evidence. Journal of Risk and Uncertainty 20(3):291–306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Brunette M, </w:t>
      </w:r>
      <w:proofErr w:type="spellStart"/>
      <w:r>
        <w:rPr>
          <w:rFonts w:ascii="Times New Roman" w:eastAsia="Times New Roman" w:hAnsi="Times New Roman" w:cs="Times New Roman"/>
          <w:sz w:val="24"/>
          <w:szCs w:val="24"/>
        </w:rPr>
        <w:t>Cabantous</w:t>
      </w:r>
      <w:proofErr w:type="spellEnd"/>
      <w:r>
        <w:rPr>
          <w:rFonts w:ascii="Times New Roman" w:eastAsia="Times New Roman" w:hAnsi="Times New Roman" w:cs="Times New Roman"/>
          <w:sz w:val="24"/>
          <w:szCs w:val="24"/>
        </w:rPr>
        <w:t xml:space="preserve"> L, Couture S, Stenger A (2013)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impact of governmental assistance on insurance demand under ambiguity: A theoretical model and an experimental test. Theory and Decision 75:153–174</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Brunette M, Couture S (2008) Public compensation for windstorm damage reduces incentives for risk management investments. Forest Policy and Economics 10(7-8):491–499</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Brunette M, </w:t>
      </w:r>
      <w:proofErr w:type="spellStart"/>
      <w:r>
        <w:rPr>
          <w:rFonts w:ascii="Times New Roman" w:eastAsia="Times New Roman" w:hAnsi="Times New Roman" w:cs="Times New Roman"/>
          <w:sz w:val="24"/>
          <w:szCs w:val="24"/>
        </w:rPr>
        <w:t>Holecy</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Sedliak</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Tucek</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Hanewinkel</w:t>
      </w:r>
      <w:proofErr w:type="spellEnd"/>
      <w:r>
        <w:rPr>
          <w:rFonts w:ascii="Times New Roman" w:eastAsia="Times New Roman" w:hAnsi="Times New Roman" w:cs="Times New Roman"/>
          <w:sz w:val="24"/>
          <w:szCs w:val="24"/>
        </w:rPr>
        <w:t xml:space="preserve"> M (2015) An actuarial model of forest insurance against multiple natural hazards in fir (</w:t>
      </w:r>
      <w:proofErr w:type="spellStart"/>
      <w:r>
        <w:rPr>
          <w:rFonts w:ascii="Times New Roman" w:eastAsia="Times New Roman" w:hAnsi="Times New Roman" w:cs="Times New Roman"/>
          <w:sz w:val="24"/>
          <w:szCs w:val="24"/>
        </w:rPr>
        <w:t>Abies</w:t>
      </w:r>
      <w:proofErr w:type="spellEnd"/>
      <w:r>
        <w:rPr>
          <w:rFonts w:ascii="Times New Roman" w:eastAsia="Times New Roman" w:hAnsi="Times New Roman" w:cs="Times New Roman"/>
          <w:sz w:val="24"/>
          <w:szCs w:val="24"/>
        </w:rPr>
        <w:t xml:space="preserve"> Alba Mill.) stands in Slovakia. Forest Policy and Economics 55:46-57.</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Brunette M, Couture S, Garcia S (2016) Determinants of insurance demand against forest fire risk: an empirical analysis of French private forest owners. Cahiers du LEF, 2016-01</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Brunette M, Foncel J, </w:t>
      </w:r>
      <w:proofErr w:type="spellStart"/>
      <w:r>
        <w:rPr>
          <w:rFonts w:ascii="Times New Roman" w:eastAsia="Times New Roman" w:hAnsi="Times New Roman" w:cs="Times New Roman"/>
          <w:sz w:val="24"/>
          <w:szCs w:val="24"/>
        </w:rPr>
        <w:t>Kéré</w:t>
      </w:r>
      <w:proofErr w:type="spellEnd"/>
      <w:r>
        <w:rPr>
          <w:rFonts w:ascii="Times New Roman" w:eastAsia="Times New Roman" w:hAnsi="Times New Roman" w:cs="Times New Roman"/>
          <w:sz w:val="24"/>
          <w:szCs w:val="24"/>
        </w:rPr>
        <w:t xml:space="preserve"> E (2017) Attitude towards Risk and Production decision: An Empirical analysis on French private forest owners. Environmental Modeling and Assessment 22(6):563-576</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Cabantous</w:t>
      </w:r>
      <w:proofErr w:type="spellEnd"/>
      <w:r>
        <w:rPr>
          <w:rFonts w:ascii="Times New Roman" w:eastAsia="Times New Roman" w:hAnsi="Times New Roman" w:cs="Times New Roman"/>
          <w:sz w:val="24"/>
          <w:szCs w:val="24"/>
        </w:rPr>
        <w:t xml:space="preserve"> L (2007) Ambiguity aversion in the field of insurance: Insurers’ attitude to imprecise and conflicting probability estimates. Theory and Decision 62(3):219–240</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Cabantous</w:t>
      </w:r>
      <w:proofErr w:type="spellEnd"/>
      <w:r>
        <w:rPr>
          <w:rFonts w:ascii="Times New Roman" w:eastAsia="Times New Roman" w:hAnsi="Times New Roman" w:cs="Times New Roman"/>
          <w:sz w:val="24"/>
          <w:szCs w:val="24"/>
        </w:rPr>
        <w:t xml:space="preserve"> L, Hilton D, </w:t>
      </w:r>
      <w:proofErr w:type="spellStart"/>
      <w:r>
        <w:rPr>
          <w:rFonts w:ascii="Times New Roman" w:eastAsia="Times New Roman" w:hAnsi="Times New Roman" w:cs="Times New Roman"/>
          <w:sz w:val="24"/>
          <w:szCs w:val="24"/>
        </w:rPr>
        <w:t>Kunreuther</w:t>
      </w:r>
      <w:proofErr w:type="spellEnd"/>
      <w:r>
        <w:rPr>
          <w:rFonts w:ascii="Times New Roman" w:eastAsia="Times New Roman" w:hAnsi="Times New Roman" w:cs="Times New Roman"/>
          <w:sz w:val="24"/>
          <w:szCs w:val="24"/>
        </w:rPr>
        <w:t xml:space="preserve"> H, Michel-</w:t>
      </w:r>
      <w:proofErr w:type="spellStart"/>
      <w:r>
        <w:rPr>
          <w:rFonts w:ascii="Times New Roman" w:eastAsia="Times New Roman" w:hAnsi="Times New Roman" w:cs="Times New Roman"/>
          <w:sz w:val="24"/>
          <w:szCs w:val="24"/>
        </w:rPr>
        <w:t>Kerjan</w:t>
      </w:r>
      <w:proofErr w:type="spellEnd"/>
      <w:r>
        <w:rPr>
          <w:rFonts w:ascii="Times New Roman" w:eastAsia="Times New Roman" w:hAnsi="Times New Roman" w:cs="Times New Roman"/>
          <w:sz w:val="24"/>
          <w:szCs w:val="24"/>
        </w:rPr>
        <w:t xml:space="preserve"> E (2011)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imprecise knowledge better than conflicting expertise? </w:t>
      </w:r>
      <w:proofErr w:type="gramStart"/>
      <w:r>
        <w:rPr>
          <w:rFonts w:ascii="Times New Roman" w:eastAsia="Times New Roman" w:hAnsi="Times New Roman" w:cs="Times New Roman"/>
          <w:sz w:val="24"/>
          <w:szCs w:val="24"/>
        </w:rPr>
        <w:t>Evidence from insurers’ decisions in the United States.</w:t>
      </w:r>
      <w:proofErr w:type="gramEnd"/>
      <w:r>
        <w:rPr>
          <w:rFonts w:ascii="Times New Roman" w:eastAsia="Times New Roman" w:hAnsi="Times New Roman" w:cs="Times New Roman"/>
          <w:sz w:val="24"/>
          <w:szCs w:val="24"/>
        </w:rPr>
        <w:t xml:space="preserve"> Journal of Risk and Uncertainty 42(3):211–232</w:t>
      </w:r>
    </w:p>
    <w:p w:rsidR="0045676C" w:rsidRDefault="002E379A" w:rsidP="000354F9">
      <w:pPr>
        <w:spacing w:after="120" w:line="480" w:lineRule="auto"/>
        <w:jc w:val="both"/>
        <w:rPr>
          <w:rFonts w:ascii="Times New Roman" w:eastAsia="Times New Roman" w:hAnsi="Times New Roman" w:cs="Times New Roman"/>
          <w:sz w:val="24"/>
          <w:szCs w:val="24"/>
          <w:lang w:val="fr-FR"/>
        </w:rPr>
      </w:pPr>
      <w:proofErr w:type="spellStart"/>
      <w:r>
        <w:rPr>
          <w:rFonts w:ascii="Times New Roman" w:eastAsia="Times New Roman" w:hAnsi="Times New Roman" w:cs="Times New Roman"/>
          <w:sz w:val="24"/>
          <w:szCs w:val="24"/>
        </w:rPr>
        <w:t>Coate</w:t>
      </w:r>
      <w:proofErr w:type="spellEnd"/>
      <w:r>
        <w:rPr>
          <w:rFonts w:ascii="Times New Roman" w:eastAsia="Times New Roman" w:hAnsi="Times New Roman" w:cs="Times New Roman"/>
          <w:sz w:val="24"/>
          <w:szCs w:val="24"/>
        </w:rPr>
        <w:t xml:space="preserve"> S (1995) Altruism, the </w:t>
      </w:r>
      <w:proofErr w:type="spellStart"/>
      <w:r>
        <w:rPr>
          <w:rFonts w:ascii="Times New Roman" w:eastAsia="Times New Roman" w:hAnsi="Times New Roman" w:cs="Times New Roman"/>
          <w:sz w:val="24"/>
          <w:szCs w:val="24"/>
        </w:rPr>
        <w:t>samaritan’s</w:t>
      </w:r>
      <w:proofErr w:type="spellEnd"/>
      <w:r>
        <w:rPr>
          <w:rFonts w:ascii="Times New Roman" w:eastAsia="Times New Roman" w:hAnsi="Times New Roman" w:cs="Times New Roman"/>
          <w:sz w:val="24"/>
          <w:szCs w:val="24"/>
        </w:rPr>
        <w:t xml:space="preserve"> dilemma, and government transfer policy. </w:t>
      </w:r>
      <w:r>
        <w:rPr>
          <w:rFonts w:ascii="Times New Roman" w:eastAsia="Times New Roman" w:hAnsi="Times New Roman" w:cs="Times New Roman"/>
          <w:sz w:val="24"/>
          <w:szCs w:val="24"/>
          <w:lang w:val="fr-FR"/>
        </w:rPr>
        <w:t xml:space="preserve">The American </w:t>
      </w:r>
      <w:proofErr w:type="spellStart"/>
      <w:r>
        <w:rPr>
          <w:rFonts w:ascii="Times New Roman" w:eastAsia="Times New Roman" w:hAnsi="Times New Roman" w:cs="Times New Roman"/>
          <w:sz w:val="24"/>
          <w:szCs w:val="24"/>
          <w:lang w:val="fr-FR"/>
        </w:rPr>
        <w:t>Economic</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Review</w:t>
      </w:r>
      <w:proofErr w:type="spellEnd"/>
      <w:r>
        <w:rPr>
          <w:rFonts w:ascii="Times New Roman" w:eastAsia="Times New Roman" w:hAnsi="Times New Roman" w:cs="Times New Roman"/>
          <w:sz w:val="24"/>
          <w:szCs w:val="24"/>
          <w:lang w:val="fr-FR"/>
        </w:rPr>
        <w:t xml:space="preserve"> 85(1):46–57</w:t>
      </w:r>
    </w:p>
    <w:p w:rsidR="0045676C" w:rsidRPr="005758B0" w:rsidRDefault="002E379A" w:rsidP="000354F9">
      <w:pPr>
        <w:spacing w:after="120" w:line="480" w:lineRule="auto"/>
        <w:jc w:val="both"/>
        <w:rPr>
          <w:lang w:val="fr-FR"/>
        </w:rPr>
      </w:pPr>
      <w:r>
        <w:rPr>
          <w:rFonts w:ascii="Times New Roman" w:eastAsia="Times New Roman" w:hAnsi="Times New Roman" w:cs="Times New Roman"/>
          <w:sz w:val="24"/>
          <w:szCs w:val="24"/>
          <w:lang w:val="fr-FR"/>
        </w:rPr>
        <w:t xml:space="preserve">Commissariat Général au Développement Durable (2011). Le risque de feux de forêts en France. Observations et Statistiques. Etudes et Documents n°45, août 2011, 44p. </w:t>
      </w:r>
      <w:proofErr w:type="spellStart"/>
      <w:r>
        <w:rPr>
          <w:rFonts w:ascii="Times New Roman" w:eastAsia="Times New Roman" w:hAnsi="Times New Roman" w:cs="Times New Roman"/>
          <w:sz w:val="24"/>
          <w:szCs w:val="24"/>
          <w:lang w:val="fr-FR"/>
        </w:rPr>
        <w:t>Available</w:t>
      </w:r>
      <w:proofErr w:type="spellEnd"/>
      <w:r>
        <w:rPr>
          <w:rFonts w:ascii="Times New Roman" w:eastAsia="Times New Roman" w:hAnsi="Times New Roman" w:cs="Times New Roman"/>
          <w:sz w:val="24"/>
          <w:szCs w:val="24"/>
          <w:lang w:val="fr-FR"/>
        </w:rPr>
        <w:t xml:space="preserve"> at: </w:t>
      </w:r>
      <w:hyperlink r:id="rId10">
        <w:r>
          <w:rPr>
            <w:rStyle w:val="LienInternet"/>
            <w:rFonts w:ascii="Times New Roman" w:eastAsia="Times New Roman" w:hAnsi="Times New Roman" w:cs="Times New Roman"/>
            <w:color w:val="1155CC"/>
            <w:sz w:val="24"/>
            <w:szCs w:val="24"/>
            <w:lang w:val="fr-FR"/>
          </w:rPr>
          <w:t>http://www.statistiques.developpement-durable.gouv.fr/fileadmin/documents/Produits_editoriaux/Publications/Etudes_et_documents/2011/ed-45-v2.pdf</w:t>
        </w:r>
      </w:hyperlink>
    </w:p>
    <w:p w:rsidR="0045676C" w:rsidRDefault="002E379A" w:rsidP="000354F9">
      <w:pPr>
        <w:spacing w:after="12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Dai Y, Chang HH, Liu W (2015) Do forest producers benefit from the forest disaster insurance program?</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Empirical evidence in Fujian Province of China.</w:t>
      </w:r>
      <w:proofErr w:type="gramEnd"/>
      <w:r>
        <w:rPr>
          <w:rFonts w:ascii="Times New Roman" w:eastAsia="Times New Roman" w:hAnsi="Times New Roman" w:cs="Times New Roman"/>
          <w:sz w:val="24"/>
          <w:szCs w:val="24"/>
        </w:rPr>
        <w:t xml:space="preserve"> Forest Policy and Economics 50:127-133</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 Y, Munn IA, Coble K, Yao H (2015) Willingness to pay for potential standing timber insurance. Journal of Agricultural and Applied Economics 47(4):510-538</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J, Jarrett A, Johnson Gaither C (2014) Wildfire risk adaptation: propensity of forestland owners to purchase wildfire insurance in the southern United States. Canadian Journal of Forest Research 44:1376-1382 </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Gardenförs</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Sahlin</w:t>
      </w:r>
      <w:proofErr w:type="spellEnd"/>
      <w:r>
        <w:rPr>
          <w:rFonts w:ascii="Times New Roman" w:eastAsia="Times New Roman" w:hAnsi="Times New Roman" w:cs="Times New Roman"/>
          <w:sz w:val="24"/>
          <w:szCs w:val="24"/>
        </w:rPr>
        <w:t xml:space="preserve"> NE (1982) Unreliable probabilities, risk taking and decision making. </w:t>
      </w:r>
      <w:proofErr w:type="spellStart"/>
      <w:r>
        <w:rPr>
          <w:rFonts w:ascii="Times New Roman" w:eastAsia="Times New Roman" w:hAnsi="Times New Roman" w:cs="Times New Roman"/>
          <w:sz w:val="24"/>
          <w:szCs w:val="24"/>
        </w:rPr>
        <w:t>Synthese</w:t>
      </w:r>
      <w:proofErr w:type="spellEnd"/>
      <w:r>
        <w:rPr>
          <w:rFonts w:ascii="Times New Roman" w:eastAsia="Times New Roman" w:hAnsi="Times New Roman" w:cs="Times New Roman"/>
          <w:sz w:val="24"/>
          <w:szCs w:val="24"/>
        </w:rPr>
        <w:t xml:space="preserve"> 53:361–386</w:t>
      </w:r>
    </w:p>
    <w:p w:rsidR="0045676C" w:rsidRDefault="002E379A" w:rsidP="000354F9">
      <w:pPr>
        <w:spacing w:after="120" w:line="480" w:lineRule="auto"/>
        <w:jc w:val="both"/>
      </w:pPr>
      <w:proofErr w:type="gramStart"/>
      <w:r>
        <w:rPr>
          <w:rFonts w:ascii="Times New Roman" w:eastAsia="Times New Roman" w:hAnsi="Times New Roman" w:cs="Times New Roman"/>
          <w:sz w:val="24"/>
          <w:szCs w:val="24"/>
        </w:rPr>
        <w:lastRenderedPageBreak/>
        <w:t>Global Agenda Council on Climate Change (2014).</w:t>
      </w:r>
      <w:proofErr w:type="gramEnd"/>
      <w:r>
        <w:rPr>
          <w:rFonts w:ascii="Times New Roman" w:eastAsia="Times New Roman" w:hAnsi="Times New Roman" w:cs="Times New Roman"/>
          <w:sz w:val="24"/>
          <w:szCs w:val="24"/>
        </w:rPr>
        <w:t xml:space="preserve"> Climate adaptation: Seizing the challenge. </w:t>
      </w:r>
      <w:proofErr w:type="gramStart"/>
      <w:r>
        <w:rPr>
          <w:rFonts w:ascii="Times New Roman" w:eastAsia="Times New Roman" w:hAnsi="Times New Roman" w:cs="Times New Roman"/>
          <w:sz w:val="24"/>
          <w:szCs w:val="24"/>
        </w:rPr>
        <w:t>World Economic Forum Geneva Switzerland.</w:t>
      </w:r>
      <w:proofErr w:type="gramEnd"/>
      <w:r>
        <w:rPr>
          <w:rFonts w:ascii="Times New Roman" w:eastAsia="Times New Roman" w:hAnsi="Times New Roman" w:cs="Times New Roman"/>
          <w:sz w:val="24"/>
          <w:szCs w:val="24"/>
        </w:rPr>
        <w:t xml:space="preserve"> </w:t>
      </w:r>
      <w:hyperlink r:id="rId11">
        <w:r>
          <w:rPr>
            <w:rStyle w:val="LienInternet"/>
            <w:rFonts w:ascii="Times New Roman" w:eastAsia="Times New Roman" w:hAnsi="Times New Roman" w:cs="Times New Roman"/>
            <w:color w:val="1155CC"/>
            <w:sz w:val="24"/>
            <w:szCs w:val="24"/>
          </w:rPr>
          <w:t>www.weforum.org/reports</w:t>
        </w:r>
      </w:hyperlink>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Greene W (2008). Discrete Choice Modeling, in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Handbook of Econometrics: Vol. 2, Applied Econometrics, Part 4.2., ed. T. Mills and K. Patterson, Palgrave, London</w:t>
      </w:r>
    </w:p>
    <w:p w:rsidR="0045676C" w:rsidRDefault="002E379A" w:rsidP="000354F9">
      <w:pPr>
        <w:spacing w:after="12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Jones AM (1989) A double-hurdle model of cigarette consumption.</w:t>
      </w:r>
      <w:proofErr w:type="gramEnd"/>
      <w:r>
        <w:rPr>
          <w:rFonts w:ascii="Times New Roman" w:eastAsia="Times New Roman" w:hAnsi="Times New Roman" w:cs="Times New Roman"/>
          <w:sz w:val="24"/>
          <w:szCs w:val="24"/>
        </w:rPr>
        <w:t xml:space="preserve"> Journal of Applied Econometrics 4:23–39 </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Kaplow</w:t>
      </w:r>
      <w:proofErr w:type="spellEnd"/>
      <w:r>
        <w:rPr>
          <w:rFonts w:ascii="Times New Roman" w:eastAsia="Times New Roman" w:hAnsi="Times New Roman" w:cs="Times New Roman"/>
          <w:sz w:val="24"/>
          <w:szCs w:val="24"/>
        </w:rPr>
        <w:t xml:space="preserve"> L (1991) Incentives and government relief for risk.</w:t>
      </w:r>
      <w:proofErr w:type="gramEnd"/>
      <w:r>
        <w:rPr>
          <w:rFonts w:ascii="Times New Roman" w:eastAsia="Times New Roman" w:hAnsi="Times New Roman" w:cs="Times New Roman"/>
          <w:sz w:val="24"/>
          <w:szCs w:val="24"/>
        </w:rPr>
        <w:t xml:space="preserve"> Journal of Risk and Uncertainty 4(2):167–175</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BJ, Schlesinger H (2005) </w:t>
      </w:r>
      <w:proofErr w:type="gramStart"/>
      <w:r>
        <w:rPr>
          <w:rFonts w:ascii="Times New Roman" w:eastAsia="Times New Roman" w:hAnsi="Times New Roman" w:cs="Times New Roman"/>
          <w:sz w:val="24"/>
          <w:szCs w:val="24"/>
        </w:rPr>
        <w:t>Adverse</w:t>
      </w:r>
      <w:proofErr w:type="gramEnd"/>
      <w:r>
        <w:rPr>
          <w:rFonts w:ascii="Times New Roman" w:eastAsia="Times New Roman" w:hAnsi="Times New Roman" w:cs="Times New Roman"/>
          <w:sz w:val="24"/>
          <w:szCs w:val="24"/>
        </w:rPr>
        <w:t xml:space="preserve"> selection in an insurance market with government guaranteed subsistence levels. Journal of Risk and Insurance 72(1):61–75</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M, </w:t>
      </w:r>
      <w:proofErr w:type="spellStart"/>
      <w:r>
        <w:rPr>
          <w:rFonts w:ascii="Times New Roman" w:eastAsia="Times New Roman" w:hAnsi="Times New Roman" w:cs="Times New Roman"/>
          <w:sz w:val="24"/>
          <w:szCs w:val="24"/>
        </w:rPr>
        <w:t>Kleffner</w:t>
      </w:r>
      <w:proofErr w:type="spellEnd"/>
      <w:r>
        <w:rPr>
          <w:rFonts w:ascii="Times New Roman" w:eastAsia="Times New Roman" w:hAnsi="Times New Roman" w:cs="Times New Roman"/>
          <w:sz w:val="24"/>
          <w:szCs w:val="24"/>
        </w:rPr>
        <w:t xml:space="preserve"> A (2003) </w:t>
      </w:r>
      <w:proofErr w:type="gramStart"/>
      <w:r>
        <w:rPr>
          <w:rFonts w:ascii="Times New Roman" w:eastAsia="Times New Roman" w:hAnsi="Times New Roman" w:cs="Times New Roman"/>
          <w:sz w:val="24"/>
          <w:szCs w:val="24"/>
        </w:rPr>
        <w:t>Optimal</w:t>
      </w:r>
      <w:proofErr w:type="gramEnd"/>
      <w:r>
        <w:rPr>
          <w:rFonts w:ascii="Times New Roman" w:eastAsia="Times New Roman" w:hAnsi="Times New Roman" w:cs="Times New Roman"/>
          <w:sz w:val="24"/>
          <w:szCs w:val="24"/>
        </w:rPr>
        <w:t xml:space="preserve"> loss mitigation and contract design. Journal of Risk and Insurance 70(1):53–72</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Klibanoff</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Marinacci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Mukerji</w:t>
      </w:r>
      <w:proofErr w:type="spellEnd"/>
      <w:r>
        <w:rPr>
          <w:rFonts w:ascii="Times New Roman" w:eastAsia="Times New Roman" w:hAnsi="Times New Roman" w:cs="Times New Roman"/>
          <w:sz w:val="24"/>
          <w:szCs w:val="24"/>
        </w:rPr>
        <w:t xml:space="preserve"> S (2005) A smooth model of decision making under ambiguity.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Econometrica</w:t>
      </w:r>
      <w:proofErr w:type="spellEnd"/>
      <w:r>
        <w:rPr>
          <w:rFonts w:ascii="Times New Roman" w:eastAsia="Times New Roman" w:hAnsi="Times New Roman" w:cs="Times New Roman"/>
          <w:sz w:val="24"/>
          <w:szCs w:val="24"/>
        </w:rPr>
        <w:t xml:space="preserve"> 73(6):1849-1892</w:t>
      </w:r>
    </w:p>
    <w:p w:rsidR="0045676C" w:rsidRDefault="002E379A" w:rsidP="000354F9">
      <w:pPr>
        <w:spacing w:after="120" w:line="480" w:lineRule="auto"/>
        <w:jc w:val="both"/>
        <w:rPr>
          <w:rFonts w:ascii="Times New Roman" w:eastAsia="Times New Roman" w:hAnsi="Times New Roman" w:cs="Times New Roman"/>
          <w:color w:val="00B050"/>
          <w:sz w:val="24"/>
          <w:szCs w:val="24"/>
        </w:rPr>
      </w:pPr>
      <w:proofErr w:type="spellStart"/>
      <w:r>
        <w:rPr>
          <w:rFonts w:ascii="Times New Roman" w:eastAsia="Times New Roman" w:hAnsi="Times New Roman" w:cs="Times New Roman"/>
          <w:sz w:val="24"/>
          <w:szCs w:val="24"/>
        </w:rPr>
        <w:t>Kunreuther</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Meszaros</w:t>
      </w:r>
      <w:proofErr w:type="spellEnd"/>
      <w:r>
        <w:rPr>
          <w:rFonts w:ascii="Times New Roman" w:eastAsia="Times New Roman" w:hAnsi="Times New Roman" w:cs="Times New Roman"/>
          <w:sz w:val="24"/>
          <w:szCs w:val="24"/>
        </w:rPr>
        <w:t xml:space="preserve"> J, Hogarth R, </w:t>
      </w:r>
      <w:proofErr w:type="spellStart"/>
      <w:r>
        <w:rPr>
          <w:rFonts w:ascii="Times New Roman" w:eastAsia="Times New Roman" w:hAnsi="Times New Roman" w:cs="Times New Roman"/>
          <w:sz w:val="24"/>
          <w:szCs w:val="24"/>
        </w:rPr>
        <w:t>Spranca</w:t>
      </w:r>
      <w:proofErr w:type="spellEnd"/>
      <w:r>
        <w:rPr>
          <w:rFonts w:ascii="Times New Roman" w:eastAsia="Times New Roman" w:hAnsi="Times New Roman" w:cs="Times New Roman"/>
          <w:sz w:val="24"/>
          <w:szCs w:val="24"/>
        </w:rPr>
        <w:t xml:space="preserve"> M (1995) Ambiguity and underwriter decision processes. Journal of Economic Behavior &amp; Organization 26(3):337–352</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Lewis T, Nickerson D (1989) Self-Insurance against Natural Disasters. Journal of Environmental Economics and Management 16:209-223</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Mußhoff</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Maart-Noelck</w:t>
      </w:r>
      <w:proofErr w:type="spellEnd"/>
      <w:r>
        <w:rPr>
          <w:rFonts w:ascii="Times New Roman" w:eastAsia="Times New Roman" w:hAnsi="Times New Roman" w:cs="Times New Roman"/>
          <w:sz w:val="24"/>
          <w:szCs w:val="24"/>
        </w:rPr>
        <w:t xml:space="preserve"> S (2014)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experimental analysis of the behavior of forestry decision-makers - the example of timing in sales decisions. Forest Policy and Economics 41:31–39</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Mills E (2007) </w:t>
      </w:r>
      <w:r>
        <w:rPr>
          <w:rFonts w:ascii="Times" w:eastAsia="Times" w:hAnsi="Times" w:cs="Times"/>
          <w:sz w:val="24"/>
          <w:szCs w:val="24"/>
        </w:rPr>
        <w:t>Synergisms between climate change mitigation and adaptation: an insurance perspective. Mitigation and Adaptation Strategies for Glo</w:t>
      </w:r>
      <w:r>
        <w:rPr>
          <w:rFonts w:ascii="Times New Roman" w:eastAsia="Times New Roman" w:hAnsi="Times New Roman" w:cs="Times New Roman"/>
          <w:sz w:val="24"/>
          <w:szCs w:val="24"/>
        </w:rPr>
        <w:t xml:space="preserve">bal Change 12:809–842 </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OECD (2015) Climate Change Risks and Adaptation: Linking Policy and Economic. OECD Publishing, Paris</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Qin T, </w:t>
      </w:r>
      <w:proofErr w:type="spellStart"/>
      <w:r>
        <w:rPr>
          <w:rFonts w:ascii="Times New Roman" w:eastAsia="Times New Roman" w:hAnsi="Times New Roman" w:cs="Times New Roman"/>
          <w:sz w:val="24"/>
          <w:szCs w:val="24"/>
        </w:rPr>
        <w:t>Gu</w:t>
      </w:r>
      <w:proofErr w:type="spellEnd"/>
      <w:r>
        <w:rPr>
          <w:rFonts w:ascii="Times New Roman" w:eastAsia="Times New Roman" w:hAnsi="Times New Roman" w:cs="Times New Roman"/>
          <w:sz w:val="24"/>
          <w:szCs w:val="24"/>
        </w:rPr>
        <w:t xml:space="preserve"> X, Tian Z, Pan H, Deng J, Wan L (2016) An empirical analysis of the factors influencing farmer demand for forest insurance: Based on surveys from </w:t>
      </w:r>
      <w:proofErr w:type="spellStart"/>
      <w:r>
        <w:rPr>
          <w:rFonts w:ascii="Times New Roman" w:eastAsia="Times New Roman" w:hAnsi="Times New Roman" w:cs="Times New Roman"/>
          <w:sz w:val="24"/>
          <w:szCs w:val="24"/>
        </w:rPr>
        <w:t>Lin’an</w:t>
      </w:r>
      <w:proofErr w:type="spellEnd"/>
      <w:r>
        <w:rPr>
          <w:rFonts w:ascii="Times New Roman" w:eastAsia="Times New Roman" w:hAnsi="Times New Roman" w:cs="Times New Roman"/>
          <w:sz w:val="24"/>
          <w:szCs w:val="24"/>
        </w:rPr>
        <w:t xml:space="preserve"> County in Zhejiang Province of China. Journal of Forest Economics 24:37-51 </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Raschky</w:t>
      </w:r>
      <w:proofErr w:type="spellEnd"/>
      <w:r>
        <w:rPr>
          <w:rFonts w:ascii="Times New Roman" w:eastAsia="Times New Roman" w:hAnsi="Times New Roman" w:cs="Times New Roman"/>
          <w:sz w:val="24"/>
          <w:szCs w:val="24"/>
        </w:rPr>
        <w:t xml:space="preserve"> PA, </w:t>
      </w:r>
      <w:proofErr w:type="spellStart"/>
      <w:r>
        <w:rPr>
          <w:rFonts w:ascii="Times New Roman" w:eastAsia="Times New Roman" w:hAnsi="Times New Roman" w:cs="Times New Roman"/>
          <w:sz w:val="24"/>
          <w:szCs w:val="24"/>
        </w:rPr>
        <w:t>Weck-Hannemann</w:t>
      </w:r>
      <w:proofErr w:type="spellEnd"/>
      <w:r>
        <w:rPr>
          <w:rFonts w:ascii="Times New Roman" w:eastAsia="Times New Roman" w:hAnsi="Times New Roman" w:cs="Times New Roman"/>
          <w:sz w:val="24"/>
          <w:szCs w:val="24"/>
        </w:rPr>
        <w:t xml:space="preserve"> H (2007) Charity hazard - a real hazard to natural disaster insurance? Environmental Hazard 7:321–329</w:t>
      </w:r>
    </w:p>
    <w:p w:rsidR="0045676C" w:rsidRPr="005758B0"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Roodman</w:t>
      </w:r>
      <w:proofErr w:type="spellEnd"/>
      <w:r>
        <w:rPr>
          <w:rFonts w:ascii="Times New Roman" w:eastAsia="Times New Roman" w:hAnsi="Times New Roman" w:cs="Times New Roman"/>
          <w:sz w:val="24"/>
          <w:szCs w:val="24"/>
        </w:rPr>
        <w:t xml:space="preserve"> D (2011) Estimating fully observed recursive mixed-process models with </w:t>
      </w:r>
      <w:proofErr w:type="spellStart"/>
      <w:r>
        <w:rPr>
          <w:rFonts w:ascii="Times New Roman" w:eastAsia="Times New Roman" w:hAnsi="Times New Roman" w:cs="Times New Roman"/>
          <w:sz w:val="24"/>
          <w:szCs w:val="24"/>
        </w:rPr>
        <w:t>cmp</w:t>
      </w:r>
      <w:proofErr w:type="spellEnd"/>
      <w:r>
        <w:rPr>
          <w:rFonts w:ascii="Times New Roman" w:eastAsia="Times New Roman" w:hAnsi="Times New Roman" w:cs="Times New Roman"/>
          <w:sz w:val="24"/>
          <w:szCs w:val="24"/>
        </w:rPr>
        <w:t xml:space="preserve">. </w:t>
      </w:r>
      <w:r w:rsidRPr="005758B0">
        <w:rPr>
          <w:rFonts w:ascii="Times New Roman" w:eastAsia="Times New Roman" w:hAnsi="Times New Roman" w:cs="Times New Roman"/>
          <w:sz w:val="24"/>
          <w:szCs w:val="24"/>
        </w:rPr>
        <w:t>Stata Journal 11(2):159–206</w:t>
      </w:r>
    </w:p>
    <w:p w:rsidR="0045676C" w:rsidRDefault="002E379A" w:rsidP="000354F9">
      <w:pPr>
        <w:spacing w:after="120" w:line="480" w:lineRule="auto"/>
        <w:jc w:val="both"/>
        <w:rPr>
          <w:rFonts w:ascii="Times New Roman" w:eastAsia="Times New Roman" w:hAnsi="Times New Roman" w:cs="Times New Roman"/>
          <w:sz w:val="24"/>
          <w:szCs w:val="24"/>
        </w:rPr>
      </w:pPr>
      <w:r w:rsidRPr="005758B0">
        <w:rPr>
          <w:rFonts w:ascii="Times New Roman" w:eastAsia="Times New Roman" w:hAnsi="Times New Roman" w:cs="Times New Roman"/>
          <w:sz w:val="24"/>
          <w:szCs w:val="24"/>
        </w:rPr>
        <w:t>San-Miguel-</w:t>
      </w:r>
      <w:proofErr w:type="spellStart"/>
      <w:r w:rsidRPr="005758B0">
        <w:rPr>
          <w:rFonts w:ascii="Times New Roman" w:eastAsia="Times New Roman" w:hAnsi="Times New Roman" w:cs="Times New Roman"/>
          <w:sz w:val="24"/>
          <w:szCs w:val="24"/>
        </w:rPr>
        <w:t>Ayanz</w:t>
      </w:r>
      <w:proofErr w:type="spellEnd"/>
      <w:r w:rsidRPr="005758B0">
        <w:rPr>
          <w:rFonts w:ascii="Times New Roman" w:eastAsia="Times New Roman" w:hAnsi="Times New Roman" w:cs="Times New Roman"/>
          <w:sz w:val="24"/>
          <w:szCs w:val="24"/>
        </w:rPr>
        <w:t xml:space="preserve"> J, </w:t>
      </w:r>
      <w:proofErr w:type="spellStart"/>
      <w:r w:rsidRPr="005758B0">
        <w:rPr>
          <w:rFonts w:ascii="Times New Roman" w:eastAsia="Times New Roman" w:hAnsi="Times New Roman" w:cs="Times New Roman"/>
          <w:sz w:val="24"/>
          <w:szCs w:val="24"/>
        </w:rPr>
        <w:t>Durrant</w:t>
      </w:r>
      <w:proofErr w:type="spellEnd"/>
      <w:r w:rsidRPr="005758B0">
        <w:rPr>
          <w:rFonts w:ascii="Times New Roman" w:eastAsia="Times New Roman" w:hAnsi="Times New Roman" w:cs="Times New Roman"/>
          <w:sz w:val="24"/>
          <w:szCs w:val="24"/>
        </w:rPr>
        <w:t xml:space="preserve"> T, Boca R, </w:t>
      </w:r>
      <w:proofErr w:type="spellStart"/>
      <w:r w:rsidRPr="005758B0">
        <w:rPr>
          <w:rFonts w:ascii="Times New Roman" w:eastAsia="Times New Roman" w:hAnsi="Times New Roman" w:cs="Times New Roman"/>
          <w:sz w:val="24"/>
          <w:szCs w:val="24"/>
        </w:rPr>
        <w:t>Libertà</w:t>
      </w:r>
      <w:proofErr w:type="spellEnd"/>
      <w:r w:rsidRPr="005758B0">
        <w:rPr>
          <w:rFonts w:ascii="Times New Roman" w:eastAsia="Times New Roman" w:hAnsi="Times New Roman" w:cs="Times New Roman"/>
          <w:sz w:val="24"/>
          <w:szCs w:val="24"/>
        </w:rPr>
        <w:t xml:space="preserve"> G, </w:t>
      </w:r>
      <w:proofErr w:type="spellStart"/>
      <w:r w:rsidRPr="005758B0">
        <w:rPr>
          <w:rFonts w:ascii="Times New Roman" w:eastAsia="Times New Roman" w:hAnsi="Times New Roman" w:cs="Times New Roman"/>
          <w:sz w:val="24"/>
          <w:szCs w:val="24"/>
        </w:rPr>
        <w:t>Branco</w:t>
      </w:r>
      <w:proofErr w:type="spellEnd"/>
      <w:r w:rsidRPr="005758B0">
        <w:rPr>
          <w:rFonts w:ascii="Times New Roman" w:eastAsia="Times New Roman" w:hAnsi="Times New Roman" w:cs="Times New Roman"/>
          <w:sz w:val="24"/>
          <w:szCs w:val="24"/>
        </w:rPr>
        <w:t xml:space="preserve"> A, de </w:t>
      </w:r>
      <w:proofErr w:type="spellStart"/>
      <w:r w:rsidRPr="005758B0">
        <w:rPr>
          <w:rFonts w:ascii="Times New Roman" w:eastAsia="Times New Roman" w:hAnsi="Times New Roman" w:cs="Times New Roman"/>
          <w:sz w:val="24"/>
          <w:szCs w:val="24"/>
        </w:rPr>
        <w:t>Rigo</w:t>
      </w:r>
      <w:proofErr w:type="spellEnd"/>
      <w:r w:rsidRPr="005758B0">
        <w:rPr>
          <w:rFonts w:ascii="Times New Roman" w:eastAsia="Times New Roman" w:hAnsi="Times New Roman" w:cs="Times New Roman"/>
          <w:sz w:val="24"/>
          <w:szCs w:val="24"/>
        </w:rPr>
        <w:t xml:space="preserve"> D, Ferrari D, </w:t>
      </w:r>
      <w:proofErr w:type="spellStart"/>
      <w:r w:rsidRPr="005758B0">
        <w:rPr>
          <w:rFonts w:ascii="Times New Roman" w:eastAsia="Times New Roman" w:hAnsi="Times New Roman" w:cs="Times New Roman"/>
          <w:sz w:val="24"/>
          <w:szCs w:val="24"/>
        </w:rPr>
        <w:t>Maianti</w:t>
      </w:r>
      <w:proofErr w:type="spellEnd"/>
      <w:r w:rsidRPr="005758B0">
        <w:rPr>
          <w:rFonts w:ascii="Times New Roman" w:eastAsia="Times New Roman" w:hAnsi="Times New Roman" w:cs="Times New Roman"/>
          <w:sz w:val="24"/>
          <w:szCs w:val="24"/>
        </w:rPr>
        <w:t xml:space="preserve"> P, </w:t>
      </w:r>
      <w:proofErr w:type="spellStart"/>
      <w:r w:rsidRPr="005758B0">
        <w:rPr>
          <w:rFonts w:ascii="Times New Roman" w:eastAsia="Times New Roman" w:hAnsi="Times New Roman" w:cs="Times New Roman"/>
          <w:sz w:val="24"/>
          <w:szCs w:val="24"/>
        </w:rPr>
        <w:t>Artés</w:t>
      </w:r>
      <w:proofErr w:type="spellEnd"/>
      <w:r w:rsidRPr="005758B0">
        <w:rPr>
          <w:rFonts w:ascii="Times New Roman" w:eastAsia="Times New Roman" w:hAnsi="Times New Roman" w:cs="Times New Roman"/>
          <w:sz w:val="24"/>
          <w:szCs w:val="24"/>
        </w:rPr>
        <w:t xml:space="preserve"> </w:t>
      </w:r>
      <w:proofErr w:type="spellStart"/>
      <w:r w:rsidRPr="005758B0">
        <w:rPr>
          <w:rFonts w:ascii="Times New Roman" w:eastAsia="Times New Roman" w:hAnsi="Times New Roman" w:cs="Times New Roman"/>
          <w:sz w:val="24"/>
          <w:szCs w:val="24"/>
        </w:rPr>
        <w:t>Vivancos</w:t>
      </w:r>
      <w:proofErr w:type="spellEnd"/>
      <w:r w:rsidRPr="005758B0">
        <w:rPr>
          <w:rFonts w:ascii="Times New Roman" w:eastAsia="Times New Roman" w:hAnsi="Times New Roman" w:cs="Times New Roman"/>
          <w:sz w:val="24"/>
          <w:szCs w:val="24"/>
        </w:rPr>
        <w:t xml:space="preserve"> T, Schulte E, Loffler P (2017) Forest Fires in Europe, Middle East and North Africa 2016. </w:t>
      </w:r>
      <w:r>
        <w:rPr>
          <w:rFonts w:ascii="Times New Roman" w:eastAsia="Times New Roman" w:hAnsi="Times New Roman" w:cs="Times New Roman"/>
          <w:sz w:val="24"/>
          <w:szCs w:val="24"/>
        </w:rPr>
        <w:t xml:space="preserve">EUR 28707 EN, Publications Office, Luxembourg, 2017, ISBN 978-92-79-71292-0,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10.2760/17690</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Sauter</w:t>
      </w:r>
      <w:proofErr w:type="spellEnd"/>
      <w:r>
        <w:rPr>
          <w:rFonts w:ascii="Times New Roman" w:eastAsia="Times New Roman" w:hAnsi="Times New Roman" w:cs="Times New Roman"/>
          <w:sz w:val="24"/>
          <w:szCs w:val="24"/>
        </w:rPr>
        <w:t xml:space="preserve"> PA, </w:t>
      </w:r>
      <w:proofErr w:type="spellStart"/>
      <w:r>
        <w:rPr>
          <w:rFonts w:ascii="Times New Roman" w:eastAsia="Times New Roman" w:hAnsi="Times New Roman" w:cs="Times New Roman"/>
          <w:sz w:val="24"/>
          <w:szCs w:val="24"/>
        </w:rPr>
        <w:t>Möllmann</w:t>
      </w:r>
      <w:proofErr w:type="spellEnd"/>
      <w:r>
        <w:rPr>
          <w:rFonts w:ascii="Times New Roman" w:eastAsia="Times New Roman" w:hAnsi="Times New Roman" w:cs="Times New Roman"/>
          <w:sz w:val="24"/>
          <w:szCs w:val="24"/>
        </w:rPr>
        <w:t xml:space="preserve"> TB, </w:t>
      </w:r>
      <w:proofErr w:type="spellStart"/>
      <w:r>
        <w:rPr>
          <w:rFonts w:ascii="Times New Roman" w:eastAsia="Times New Roman" w:hAnsi="Times New Roman" w:cs="Times New Roman"/>
          <w:sz w:val="24"/>
          <w:szCs w:val="24"/>
        </w:rPr>
        <w:t>Anastassiadis</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Mußhoff</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Möhring</w:t>
      </w:r>
      <w:proofErr w:type="spellEnd"/>
      <w:r>
        <w:rPr>
          <w:rFonts w:ascii="Times New Roman" w:eastAsia="Times New Roman" w:hAnsi="Times New Roman" w:cs="Times New Roman"/>
          <w:sz w:val="24"/>
          <w:szCs w:val="24"/>
        </w:rPr>
        <w:t xml:space="preserve"> B (2016) To insure or not to insure? </w:t>
      </w:r>
      <w:proofErr w:type="gramStart"/>
      <w:r>
        <w:rPr>
          <w:rFonts w:ascii="Times New Roman" w:eastAsia="Times New Roman" w:hAnsi="Times New Roman" w:cs="Times New Roman"/>
          <w:sz w:val="24"/>
          <w:szCs w:val="24"/>
        </w:rPr>
        <w:t>Analysis of foresters’ willingness-to-pay for fire and storm insurance.</w:t>
      </w:r>
      <w:proofErr w:type="gramEnd"/>
      <w:r>
        <w:rPr>
          <w:rFonts w:ascii="Times New Roman" w:eastAsia="Times New Roman" w:hAnsi="Times New Roman" w:cs="Times New Roman"/>
          <w:sz w:val="24"/>
          <w:szCs w:val="24"/>
        </w:rPr>
        <w:t xml:space="preserve"> Forest Policy and Economics 73:78-89 </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Schelhaas</w:t>
      </w:r>
      <w:proofErr w:type="spellEnd"/>
      <w:r>
        <w:rPr>
          <w:rFonts w:ascii="Times New Roman" w:eastAsia="Times New Roman" w:hAnsi="Times New Roman" w:cs="Times New Roman"/>
          <w:sz w:val="24"/>
          <w:szCs w:val="24"/>
        </w:rPr>
        <w:t xml:space="preserve"> MJ, </w:t>
      </w:r>
      <w:proofErr w:type="spellStart"/>
      <w:r>
        <w:rPr>
          <w:rFonts w:ascii="Times New Roman" w:eastAsia="Times New Roman" w:hAnsi="Times New Roman" w:cs="Times New Roman"/>
          <w:sz w:val="24"/>
          <w:szCs w:val="24"/>
        </w:rPr>
        <w:t>Nabuurs</w:t>
      </w:r>
      <w:proofErr w:type="spellEnd"/>
      <w:r>
        <w:rPr>
          <w:rFonts w:ascii="Times New Roman" w:eastAsia="Times New Roman" w:hAnsi="Times New Roman" w:cs="Times New Roman"/>
          <w:sz w:val="24"/>
          <w:szCs w:val="24"/>
        </w:rPr>
        <w:t xml:space="preserve"> GJL, Schuck A (2003) Natural disturbances in the European forests in the 19th and 20th centuries.</w:t>
      </w:r>
      <w:proofErr w:type="gramEnd"/>
      <w:r>
        <w:rPr>
          <w:rFonts w:ascii="Times New Roman" w:eastAsia="Times New Roman" w:hAnsi="Times New Roman" w:cs="Times New Roman"/>
          <w:sz w:val="24"/>
          <w:szCs w:val="24"/>
        </w:rPr>
        <w:t xml:space="preserve"> Global Change Biology 9:1620–1633</w:t>
      </w:r>
    </w:p>
    <w:p w:rsidR="00B33168" w:rsidRPr="00B33168" w:rsidRDefault="00B33168" w:rsidP="000354F9">
      <w:pPr>
        <w:spacing w:after="120" w:line="480" w:lineRule="auto"/>
        <w:jc w:val="both"/>
        <w:rPr>
          <w:rFonts w:ascii="Times New Roman" w:eastAsia="Times New Roman" w:hAnsi="Times New Roman" w:cs="Times New Roman"/>
          <w:sz w:val="24"/>
          <w:szCs w:val="24"/>
        </w:rPr>
      </w:pPr>
      <w:r w:rsidRPr="00B33168">
        <w:rPr>
          <w:rFonts w:ascii="Times New Roman" w:hAnsi="Times New Roman" w:cs="Times New Roman"/>
          <w:sz w:val="24"/>
          <w:szCs w:val="24"/>
        </w:rPr>
        <w:t xml:space="preserve">Schlesinger H (2000) The Theory of insurance demand, in Handbook of Insurance. </w:t>
      </w:r>
      <w:proofErr w:type="gramStart"/>
      <w:r w:rsidRPr="00B33168">
        <w:rPr>
          <w:rFonts w:ascii="Times New Roman" w:hAnsi="Times New Roman" w:cs="Times New Roman"/>
          <w:sz w:val="24"/>
          <w:szCs w:val="24"/>
        </w:rPr>
        <w:t>Edited by Georges Dionne.</w:t>
      </w:r>
      <w:proofErr w:type="gramEnd"/>
      <w:r w:rsidRPr="00B33168">
        <w:rPr>
          <w:rFonts w:ascii="Times New Roman" w:hAnsi="Times New Roman" w:cs="Times New Roman"/>
          <w:sz w:val="24"/>
          <w:szCs w:val="24"/>
        </w:rPr>
        <w:t xml:space="preserve"> Kluwer Academic Publishers</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Seidl</w:t>
      </w:r>
      <w:proofErr w:type="spellEnd"/>
      <w:r>
        <w:rPr>
          <w:rFonts w:ascii="Times New Roman" w:eastAsia="Times New Roman" w:hAnsi="Times New Roman" w:cs="Times New Roman"/>
          <w:sz w:val="24"/>
          <w:szCs w:val="24"/>
        </w:rPr>
        <w:t xml:space="preserve"> R, Rammer W, </w:t>
      </w:r>
      <w:proofErr w:type="spellStart"/>
      <w:r>
        <w:rPr>
          <w:rFonts w:ascii="Times New Roman" w:eastAsia="Times New Roman" w:hAnsi="Times New Roman" w:cs="Times New Roman"/>
          <w:sz w:val="24"/>
          <w:szCs w:val="24"/>
        </w:rPr>
        <w:t>Lexer</w:t>
      </w:r>
      <w:proofErr w:type="spellEnd"/>
      <w:r>
        <w:rPr>
          <w:rFonts w:ascii="Times New Roman" w:eastAsia="Times New Roman" w:hAnsi="Times New Roman" w:cs="Times New Roman"/>
          <w:sz w:val="24"/>
          <w:szCs w:val="24"/>
        </w:rPr>
        <w:t xml:space="preserve"> MJ (2011) Adaptation options to reduce climate change vulnerability of sustainable forest management in the Austrian Alps. Canadian Journal of Forest Research 41:694-706</w:t>
      </w:r>
    </w:p>
    <w:p w:rsidR="0045676C" w:rsidRDefault="002E379A" w:rsidP="000354F9">
      <w:pPr>
        <w:spacing w:after="120"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Spittlehouse</w:t>
      </w:r>
      <w:proofErr w:type="spellEnd"/>
      <w:r>
        <w:rPr>
          <w:rFonts w:ascii="Times New Roman" w:eastAsia="Times New Roman" w:hAnsi="Times New Roman" w:cs="Times New Roman"/>
          <w:sz w:val="24"/>
          <w:szCs w:val="24"/>
        </w:rPr>
        <w:t xml:space="preserve"> DL, Stewart RB (2003) Adaptation to climate change in forest management.</w:t>
      </w:r>
      <w:proofErr w:type="gramEnd"/>
      <w:r>
        <w:rPr>
          <w:rFonts w:ascii="Times New Roman" w:eastAsia="Times New Roman" w:hAnsi="Times New Roman" w:cs="Times New Roman"/>
          <w:sz w:val="24"/>
          <w:szCs w:val="24"/>
        </w:rPr>
        <w:t xml:space="preserve"> BC Journal of Ecosystems Management 4:1-11</w:t>
      </w:r>
    </w:p>
    <w:p w:rsidR="0045676C" w:rsidRDefault="00B33168"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2E379A">
        <w:rPr>
          <w:rFonts w:ascii="Times New Roman" w:eastAsia="Times New Roman" w:hAnsi="Times New Roman" w:cs="Times New Roman"/>
          <w:sz w:val="24"/>
          <w:szCs w:val="24"/>
        </w:rPr>
        <w:t xml:space="preserve">an Aalst MK (2006) </w:t>
      </w:r>
      <w:proofErr w:type="gramStart"/>
      <w:r w:rsidR="002E379A">
        <w:rPr>
          <w:rFonts w:ascii="Times New Roman" w:eastAsia="Times New Roman" w:hAnsi="Times New Roman" w:cs="Times New Roman"/>
          <w:sz w:val="24"/>
          <w:szCs w:val="24"/>
        </w:rPr>
        <w:t>The</w:t>
      </w:r>
      <w:proofErr w:type="gramEnd"/>
      <w:r w:rsidR="002E379A">
        <w:rPr>
          <w:rFonts w:ascii="Times New Roman" w:eastAsia="Times New Roman" w:hAnsi="Times New Roman" w:cs="Times New Roman"/>
          <w:sz w:val="24"/>
          <w:szCs w:val="24"/>
        </w:rPr>
        <w:t xml:space="preserve"> impacts of climate change on the risk of natural disasters. Disasters 30:5-18</w:t>
      </w:r>
    </w:p>
    <w:p w:rsidR="0045676C" w:rsidRDefault="00B33168" w:rsidP="000354F9">
      <w:pPr>
        <w:spacing w:after="12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r w:rsidR="002E379A">
        <w:rPr>
          <w:rFonts w:ascii="Times New Roman" w:eastAsia="Times New Roman" w:hAnsi="Times New Roman" w:cs="Times New Roman"/>
          <w:sz w:val="24"/>
          <w:szCs w:val="24"/>
        </w:rPr>
        <w:t xml:space="preserve">an </w:t>
      </w:r>
      <w:proofErr w:type="spellStart"/>
      <w:r w:rsidR="002E379A">
        <w:rPr>
          <w:rFonts w:ascii="Times New Roman" w:eastAsia="Times New Roman" w:hAnsi="Times New Roman" w:cs="Times New Roman"/>
          <w:sz w:val="24"/>
          <w:szCs w:val="24"/>
        </w:rPr>
        <w:t>Asseldonk</w:t>
      </w:r>
      <w:proofErr w:type="spellEnd"/>
      <w:r w:rsidR="002E379A">
        <w:rPr>
          <w:rFonts w:ascii="Times New Roman" w:eastAsia="Times New Roman" w:hAnsi="Times New Roman" w:cs="Times New Roman"/>
          <w:sz w:val="24"/>
          <w:szCs w:val="24"/>
        </w:rPr>
        <w:t xml:space="preserve"> MAPM, </w:t>
      </w:r>
      <w:proofErr w:type="spellStart"/>
      <w:r w:rsidR="002E379A">
        <w:rPr>
          <w:rFonts w:ascii="Times New Roman" w:eastAsia="Times New Roman" w:hAnsi="Times New Roman" w:cs="Times New Roman"/>
          <w:sz w:val="24"/>
          <w:szCs w:val="24"/>
        </w:rPr>
        <w:t>Meuwissen</w:t>
      </w:r>
      <w:proofErr w:type="spellEnd"/>
      <w:r w:rsidR="002E379A">
        <w:rPr>
          <w:rFonts w:ascii="Times New Roman" w:eastAsia="Times New Roman" w:hAnsi="Times New Roman" w:cs="Times New Roman"/>
          <w:sz w:val="24"/>
          <w:szCs w:val="24"/>
        </w:rPr>
        <w:t xml:space="preserve"> MPM, </w:t>
      </w:r>
      <w:proofErr w:type="spellStart"/>
      <w:r w:rsidR="002E379A">
        <w:rPr>
          <w:rFonts w:ascii="Times New Roman" w:eastAsia="Times New Roman" w:hAnsi="Times New Roman" w:cs="Times New Roman"/>
          <w:sz w:val="24"/>
          <w:szCs w:val="24"/>
        </w:rPr>
        <w:t>Huirne</w:t>
      </w:r>
      <w:proofErr w:type="spellEnd"/>
      <w:r w:rsidR="002E379A">
        <w:rPr>
          <w:rFonts w:ascii="Times New Roman" w:eastAsia="Times New Roman" w:hAnsi="Times New Roman" w:cs="Times New Roman"/>
          <w:sz w:val="24"/>
          <w:szCs w:val="24"/>
        </w:rPr>
        <w:t xml:space="preserve"> RBM (2002) Belief in Disaster Relief and the Demand for a Public–Private Insurance Program.</w:t>
      </w:r>
      <w:proofErr w:type="gramEnd"/>
      <w:r w:rsidR="002E379A">
        <w:rPr>
          <w:rFonts w:ascii="Times New Roman" w:eastAsia="Times New Roman" w:hAnsi="Times New Roman" w:cs="Times New Roman"/>
          <w:sz w:val="24"/>
          <w:szCs w:val="24"/>
        </w:rPr>
        <w:t xml:space="preserve"> Review of Agricultural Economics 24(1):196–207</w:t>
      </w:r>
    </w:p>
    <w:p w:rsidR="0045676C" w:rsidRDefault="002E379A" w:rsidP="000354F9">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World Bank (2002) Catastrophes and development: integrating natural catastrophes into development planning. Working Paper Series No. 4</w:t>
      </w:r>
    </w:p>
    <w:p w:rsidR="0045676C" w:rsidRDefault="002E379A" w:rsidP="000354F9">
      <w:pPr>
        <w:spacing w:after="120" w:line="480" w:lineRule="auto"/>
        <w:jc w:val="both"/>
      </w:pPr>
      <w:r>
        <w:rPr>
          <w:rFonts w:ascii="Times New Roman" w:eastAsia="Times New Roman" w:hAnsi="Times New Roman" w:cs="Times New Roman"/>
          <w:sz w:val="24"/>
          <w:szCs w:val="24"/>
        </w:rPr>
        <w:t xml:space="preserve">Zhang D, Stenger A (2014) Timber insurance: perspectives from a legal case and a preliminary review of practices throughout the world. New Zealand Journal of Forestry Science 44:S9 </w:t>
      </w:r>
      <w:bookmarkStart w:id="3" w:name="_GoBack"/>
      <w:bookmarkEnd w:id="3"/>
    </w:p>
    <w:sectPr w:rsidR="0045676C">
      <w:headerReference w:type="default" r:id="rId12"/>
      <w:footerReference w:type="default" r:id="rId13"/>
      <w:pgSz w:w="11906" w:h="16838"/>
      <w:pgMar w:top="1417" w:right="1134" w:bottom="1417" w:left="1128" w:header="36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5A" w:rsidRDefault="00EF3F5A">
      <w:pPr>
        <w:spacing w:after="0" w:line="240" w:lineRule="auto"/>
      </w:pPr>
      <w:r>
        <w:separator/>
      </w:r>
    </w:p>
  </w:endnote>
  <w:endnote w:type="continuationSeparator" w:id="0">
    <w:p w:rsidR="00EF3F5A" w:rsidRDefault="00EF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8A" w:rsidRDefault="00D5448A">
    <w:pPr>
      <w:tabs>
        <w:tab w:val="center" w:pos="4536"/>
        <w:tab w:val="right" w:pos="9072"/>
      </w:tabs>
      <w:spacing w:after="0" w:line="240" w:lineRule="auto"/>
      <w:jc w:val="right"/>
    </w:pPr>
    <w:r>
      <w:rPr>
        <w:rFonts w:ascii="Times New Roman" w:hAnsi="Times New Roman" w:cs="Times New Roman"/>
      </w:rPr>
      <w:fldChar w:fldCharType="begin"/>
    </w:r>
    <w:r>
      <w:instrText>PAGE</w:instrText>
    </w:r>
    <w:r>
      <w:fldChar w:fldCharType="separate"/>
    </w:r>
    <w:r w:rsidR="001C45BB">
      <w:rPr>
        <w:noProof/>
      </w:rPr>
      <w:t>31</w:t>
    </w:r>
    <w:r>
      <w:fldChar w:fldCharType="end"/>
    </w:r>
  </w:p>
  <w:p w:rsidR="00D5448A" w:rsidRDefault="00D5448A">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5A" w:rsidRDefault="00EF3F5A">
      <w:r>
        <w:separator/>
      </w:r>
    </w:p>
  </w:footnote>
  <w:footnote w:type="continuationSeparator" w:id="0">
    <w:p w:rsidR="00EF3F5A" w:rsidRDefault="00EF3F5A">
      <w:r>
        <w:continuationSeparator/>
      </w:r>
    </w:p>
  </w:footnote>
  <w:footnote w:id="1">
    <w:p w:rsidR="00D5448A" w:rsidRDefault="00D5448A" w:rsidP="002D433E">
      <w:pPr>
        <w:spacing w:after="0" w:line="480" w:lineRule="auto"/>
        <w:jc w:val="both"/>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Hence, the ambiguity considered here comes from imprecision and not from conflict or disagreement (</w:t>
      </w:r>
      <w:proofErr w:type="spellStart"/>
      <w:r>
        <w:rPr>
          <w:rFonts w:ascii="Times New Roman" w:eastAsia="Times New Roman" w:hAnsi="Times New Roman" w:cs="Times New Roman"/>
          <w:sz w:val="20"/>
          <w:szCs w:val="20"/>
        </w:rPr>
        <w:t>Cabantous</w:t>
      </w:r>
      <w:proofErr w:type="spellEnd"/>
      <w:r>
        <w:rPr>
          <w:rFonts w:ascii="Times New Roman" w:eastAsia="Times New Roman" w:hAnsi="Times New Roman" w:cs="Times New Roman"/>
          <w:sz w:val="20"/>
          <w:szCs w:val="20"/>
        </w:rPr>
        <w:t xml:space="preserve"> 2007). </w:t>
      </w:r>
    </w:p>
  </w:footnote>
  <w:footnote w:id="2">
    <w:p w:rsidR="00D5448A" w:rsidRDefault="00D5448A" w:rsidP="002D433E">
      <w:pPr>
        <w:spacing w:after="0" w:line="480" w:lineRule="auto"/>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It means that the two models are nested. </w:t>
      </w:r>
    </w:p>
  </w:footnote>
  <w:footnote w:id="3">
    <w:p w:rsidR="00D5448A" w:rsidRDefault="00D5448A" w:rsidP="002D433E">
      <w:pPr>
        <w:spacing w:after="0" w:line="480" w:lineRule="auto"/>
        <w:jc w:val="both"/>
      </w:pPr>
      <w:r>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The potential endogeneity of </w:t>
      </w:r>
      <w:r>
        <w:rPr>
          <w:rFonts w:ascii="Times New Roman" w:hAnsi="Times New Roman" w:cs="Times New Roman"/>
          <w:i/>
          <w:sz w:val="20"/>
          <w:szCs w:val="20"/>
        </w:rPr>
        <w:t>IC</w:t>
      </w:r>
      <w:r>
        <w:rPr>
          <w:rFonts w:ascii="Times New Roman" w:hAnsi="Times New Roman" w:cs="Times New Roman"/>
          <w:sz w:val="20"/>
          <w:szCs w:val="20"/>
        </w:rPr>
        <w:t xml:space="preserve"> in Equation (8) is addressed by instrumenting this variable by the means of Equation (7) in which some significant variables (see Table 6) are excluded from Equation (8).</w:t>
      </w:r>
    </w:p>
  </w:footnote>
  <w:footnote w:id="4">
    <w:p w:rsidR="00D5448A" w:rsidRDefault="00D5448A" w:rsidP="002D433E">
      <w:pPr>
        <w:spacing w:after="0" w:line="480" w:lineRule="auto"/>
        <w:jc w:val="both"/>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We use the Conditional Mixed Process program (CMP) in STATA developed by </w:t>
      </w:r>
      <w:proofErr w:type="spellStart"/>
      <w:r>
        <w:rPr>
          <w:rFonts w:ascii="Times New Roman" w:eastAsia="Times New Roman" w:hAnsi="Times New Roman" w:cs="Times New Roman"/>
          <w:sz w:val="20"/>
          <w:szCs w:val="20"/>
        </w:rPr>
        <w:t>Roodman</w:t>
      </w:r>
      <w:proofErr w:type="spellEnd"/>
      <w:r>
        <w:rPr>
          <w:rFonts w:ascii="Times New Roman" w:eastAsia="Times New Roman" w:hAnsi="Times New Roman" w:cs="Times New Roman"/>
          <w:sz w:val="20"/>
          <w:szCs w:val="20"/>
        </w:rPr>
        <w:t xml:space="preserve"> (2011) that allows estimating consistently our two models in taking into account several forms of endogenous regressors for various qualitative, censored and quantitative variables of interest. In particular, we performed Monte-Carlo simulations to check that this procedure was suited for our second model by providing appropriate parameters recovery.</w:t>
      </w:r>
    </w:p>
  </w:footnote>
  <w:footnote w:id="5">
    <w:p w:rsidR="00D5448A" w:rsidRDefault="00D5448A" w:rsidP="002D433E">
      <w:pPr>
        <w:spacing w:after="0" w:line="480" w:lineRule="auto"/>
        <w:jc w:val="both"/>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Note that the variable </w:t>
      </w:r>
      <w:r>
        <w:rPr>
          <w:rFonts w:ascii="Times New Roman" w:eastAsia="Times New Roman" w:hAnsi="Times New Roman" w:cs="Times New Roman"/>
          <w:i/>
          <w:sz w:val="20"/>
          <w:szCs w:val="20"/>
        </w:rPr>
        <w:t xml:space="preserve">INCOM12 </w:t>
      </w:r>
      <w:r>
        <w:rPr>
          <w:rFonts w:ascii="Times New Roman" w:eastAsia="Times New Roman" w:hAnsi="Times New Roman" w:cs="Times New Roman"/>
          <w:sz w:val="20"/>
          <w:szCs w:val="20"/>
        </w:rPr>
        <w:t>gathers the two first classes of the variable</w:t>
      </w:r>
      <w:r>
        <w:rPr>
          <w:rFonts w:ascii="Times New Roman" w:eastAsia="Times New Roman" w:hAnsi="Times New Roman" w:cs="Times New Roman"/>
          <w:i/>
          <w:sz w:val="20"/>
          <w:szCs w:val="20"/>
        </w:rPr>
        <w:t xml:space="preserve"> Income</w:t>
      </w:r>
      <w:r>
        <w:rPr>
          <w:rFonts w:ascii="Times New Roman" w:eastAsia="Times New Roman" w:hAnsi="Times New Roman" w:cs="Times New Roman"/>
          <w:sz w:val="20"/>
          <w:szCs w:val="20"/>
        </w:rPr>
        <w:t xml:space="preserve"> &lt;1,000€ and </w:t>
      </w:r>
      <w:r>
        <w:rPr>
          <w:rFonts w:ascii="Times New Roman" w:eastAsia="Times New Roman" w:hAnsi="Times New Roman" w:cs="Times New Roman"/>
          <w:i/>
          <w:sz w:val="20"/>
          <w:szCs w:val="20"/>
        </w:rPr>
        <w:t>Income</w:t>
      </w:r>
      <w:r>
        <w:rPr>
          <w:rFonts w:ascii="Times New Roman" w:eastAsia="Times New Roman" w:hAnsi="Times New Roman" w:cs="Times New Roman"/>
          <w:sz w:val="20"/>
          <w:szCs w:val="20"/>
        </w:rPr>
        <w:t xml:space="preserve"> belongs to [1,000€;</w:t>
      </w:r>
      <w:r w:rsidR="002D43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2,000€]. </w:t>
      </w:r>
      <w:r>
        <w:rPr>
          <w:rFonts w:ascii="Times New Roman" w:eastAsia="Times New Roman" w:hAnsi="Times New Roman" w:cs="Times New Roman"/>
          <w:i/>
          <w:sz w:val="20"/>
          <w:szCs w:val="20"/>
        </w:rPr>
        <w:t xml:space="preserve">INCOM34 </w:t>
      </w:r>
      <w:r>
        <w:rPr>
          <w:rFonts w:ascii="Times New Roman" w:eastAsia="Times New Roman" w:hAnsi="Times New Roman" w:cs="Times New Roman"/>
          <w:sz w:val="20"/>
          <w:szCs w:val="20"/>
        </w:rPr>
        <w:t>gathers classes [2,000€;</w:t>
      </w:r>
      <w:r w:rsidR="002D43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2,500€] and [2,500€;</w:t>
      </w:r>
      <w:r w:rsidR="002D43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3,000€]. </w:t>
      </w:r>
      <w:r>
        <w:rPr>
          <w:rFonts w:ascii="Times New Roman" w:eastAsia="Times New Roman" w:hAnsi="Times New Roman" w:cs="Times New Roman"/>
          <w:i/>
          <w:sz w:val="20"/>
          <w:szCs w:val="20"/>
        </w:rPr>
        <w:t xml:space="preserve">INCOM5 </w:t>
      </w:r>
      <w:r>
        <w:rPr>
          <w:rFonts w:ascii="Times New Roman" w:eastAsia="Times New Roman" w:hAnsi="Times New Roman" w:cs="Times New Roman"/>
          <w:sz w:val="20"/>
          <w:szCs w:val="20"/>
        </w:rPr>
        <w:t>represents the richest forest owners of the sample and is considered as the reference income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8A" w:rsidRDefault="00D5448A">
    <w:pPr>
      <w:tabs>
        <w:tab w:val="center" w:pos="4536"/>
        <w:tab w:val="right" w:pos="9072"/>
      </w:tabs>
      <w:spacing w:before="708" w:after="0" w:line="240" w:lineRule="auto"/>
      <w:jc w:val="right"/>
    </w:pPr>
  </w:p>
  <w:p w:rsidR="00D5448A" w:rsidRDefault="00D5448A">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FBE"/>
    <w:multiLevelType w:val="multilevel"/>
    <w:tmpl w:val="F6E8EC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E52C73"/>
    <w:multiLevelType w:val="multilevel"/>
    <w:tmpl w:val="D42A00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B15685"/>
    <w:multiLevelType w:val="multilevel"/>
    <w:tmpl w:val="EC7881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676C"/>
    <w:rsid w:val="000028AF"/>
    <w:rsid w:val="000354F9"/>
    <w:rsid w:val="001C45BB"/>
    <w:rsid w:val="001C6E4D"/>
    <w:rsid w:val="002D433E"/>
    <w:rsid w:val="002E379A"/>
    <w:rsid w:val="003007C8"/>
    <w:rsid w:val="00323A60"/>
    <w:rsid w:val="003950E4"/>
    <w:rsid w:val="0045676C"/>
    <w:rsid w:val="005758B0"/>
    <w:rsid w:val="005A6BA3"/>
    <w:rsid w:val="00671834"/>
    <w:rsid w:val="006D57F4"/>
    <w:rsid w:val="007207C8"/>
    <w:rsid w:val="007E013E"/>
    <w:rsid w:val="009A4534"/>
    <w:rsid w:val="00A0323E"/>
    <w:rsid w:val="00A22FE8"/>
    <w:rsid w:val="00A9511F"/>
    <w:rsid w:val="00B33168"/>
    <w:rsid w:val="00BF2153"/>
    <w:rsid w:val="00C51429"/>
    <w:rsid w:val="00D12385"/>
    <w:rsid w:val="00D5448A"/>
    <w:rsid w:val="00E6779C"/>
    <w:rsid w:val="00E808D1"/>
    <w:rsid w:val="00ED2A0A"/>
    <w:rsid w:val="00EF3F5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1">
    <w:name w:val="heading 1"/>
    <w:basedOn w:val="Normal"/>
    <w:next w:val="Normal"/>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qFormat/>
    <w:pPr>
      <w:keepNext/>
      <w:keepLines/>
      <w:spacing w:before="360" w:after="80"/>
      <w:contextualSpacing/>
      <w:outlineLvl w:val="1"/>
    </w:pPr>
    <w:rPr>
      <w:b/>
      <w:sz w:val="36"/>
      <w:szCs w:val="36"/>
    </w:rPr>
  </w:style>
  <w:style w:type="paragraph" w:styleId="Titre3">
    <w:name w:val="heading 3"/>
    <w:basedOn w:val="Normal"/>
    <w:next w:val="Normal"/>
    <w:qFormat/>
    <w:pPr>
      <w:keepNext/>
      <w:keepLines/>
      <w:spacing w:before="280" w:after="80"/>
      <w:contextualSpacing/>
      <w:outlineLvl w:val="2"/>
    </w:pPr>
    <w:rPr>
      <w:b/>
      <w:sz w:val="28"/>
      <w:szCs w:val="28"/>
    </w:rPr>
  </w:style>
  <w:style w:type="paragraph" w:styleId="Titre4">
    <w:name w:val="heading 4"/>
    <w:basedOn w:val="Normal"/>
    <w:next w:val="Normal"/>
    <w:qFormat/>
    <w:pPr>
      <w:keepNext/>
      <w:keepLines/>
      <w:spacing w:before="240" w:after="40"/>
      <w:contextualSpacing/>
      <w:outlineLvl w:val="3"/>
    </w:pPr>
    <w:rPr>
      <w:b/>
      <w:sz w:val="24"/>
      <w:szCs w:val="24"/>
    </w:rPr>
  </w:style>
  <w:style w:type="paragraph" w:styleId="Titre5">
    <w:name w:val="heading 5"/>
    <w:basedOn w:val="Normal"/>
    <w:next w:val="Normal"/>
    <w:qFormat/>
    <w:pPr>
      <w:keepNext/>
      <w:keepLines/>
      <w:spacing w:before="220" w:after="40"/>
      <w:contextualSpacing/>
      <w:outlineLvl w:val="4"/>
    </w:pPr>
    <w:rPr>
      <w:b/>
    </w:rPr>
  </w:style>
  <w:style w:type="paragraph" w:styleId="Titre6">
    <w:name w:val="heading 6"/>
    <w:basedOn w:val="Normal"/>
    <w:next w:val="Normal"/>
    <w:qFormat/>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TextedebullesCar">
    <w:name w:val="Texte de bulles Car"/>
    <w:basedOn w:val="Policepardfaut"/>
    <w:link w:val="Textedebulles"/>
    <w:uiPriority w:val="99"/>
    <w:semiHidden/>
    <w:qFormat/>
    <w:rsid w:val="00EC0EF6"/>
    <w:rPr>
      <w:rFonts w:ascii="Tahoma" w:hAnsi="Tahoma" w:cs="Tahoma"/>
      <w:sz w:val="16"/>
      <w:szCs w:val="16"/>
    </w:rPr>
  </w:style>
  <w:style w:type="character" w:styleId="Textedelespacerserv">
    <w:name w:val="Placeholder Text"/>
    <w:basedOn w:val="Policepardfaut"/>
    <w:uiPriority w:val="99"/>
    <w:semiHidden/>
    <w:qFormat/>
    <w:rsid w:val="00BF5C0E"/>
    <w:rPr>
      <w:color w:val="808080"/>
    </w:rPr>
  </w:style>
  <w:style w:type="character" w:customStyle="1" w:styleId="ObjetducommentaireCar">
    <w:name w:val="Objet du commentaire Car"/>
    <w:basedOn w:val="CommentaireCar"/>
    <w:link w:val="Objetducommentaire"/>
    <w:uiPriority w:val="99"/>
    <w:semiHidden/>
    <w:qFormat/>
    <w:rsid w:val="00062A8D"/>
    <w:rPr>
      <w:b/>
      <w:bCs/>
      <w:sz w:val="20"/>
      <w:szCs w:val="20"/>
    </w:rPr>
  </w:style>
  <w:style w:type="character" w:customStyle="1" w:styleId="En-tteCar">
    <w:name w:val="En-tête Car"/>
    <w:basedOn w:val="Policepardfaut"/>
    <w:uiPriority w:val="99"/>
    <w:qFormat/>
    <w:rsid w:val="00FC423C"/>
  </w:style>
  <w:style w:type="character" w:customStyle="1" w:styleId="PieddepageCar">
    <w:name w:val="Pied de page Car"/>
    <w:basedOn w:val="Policepardfaut"/>
    <w:link w:val="Pieddepage"/>
    <w:uiPriority w:val="99"/>
    <w:qFormat/>
    <w:rsid w:val="00FC423C"/>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keepLines/>
      <w:spacing w:before="480" w:after="120"/>
      <w:contextualSpacing/>
    </w:pPr>
    <w:rPr>
      <w:b/>
      <w:sz w:val="72"/>
      <w:szCs w:val="72"/>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rsid w:val="00EC0EF6"/>
    <w:pPr>
      <w:spacing w:after="0" w:line="240" w:lineRule="auto"/>
    </w:pPr>
    <w:rPr>
      <w:rFonts w:ascii="Tahoma" w:hAnsi="Tahoma" w:cs="Tahoma"/>
      <w:sz w:val="16"/>
      <w:szCs w:val="16"/>
    </w:rPr>
  </w:style>
  <w:style w:type="paragraph" w:styleId="Objetducommentaire">
    <w:name w:val="annotation subject"/>
    <w:basedOn w:val="Commentaire"/>
    <w:link w:val="ObjetducommentaireCar"/>
    <w:uiPriority w:val="99"/>
    <w:semiHidden/>
    <w:unhideWhenUsed/>
    <w:qFormat/>
    <w:rsid w:val="00062A8D"/>
    <w:rPr>
      <w:b/>
      <w:bCs/>
    </w:rPr>
  </w:style>
  <w:style w:type="paragraph" w:styleId="En-tte">
    <w:name w:val="header"/>
    <w:basedOn w:val="Normal"/>
    <w:uiPriority w:val="99"/>
    <w:unhideWhenUsed/>
    <w:rsid w:val="00FC423C"/>
    <w:pPr>
      <w:tabs>
        <w:tab w:val="center" w:pos="4536"/>
        <w:tab w:val="right" w:pos="9072"/>
      </w:tabs>
      <w:spacing w:after="0" w:line="240" w:lineRule="auto"/>
    </w:pPr>
  </w:style>
  <w:style w:type="paragraph" w:styleId="Pieddepage">
    <w:name w:val="footer"/>
    <w:basedOn w:val="Normal"/>
    <w:link w:val="PieddepageCar"/>
    <w:uiPriority w:val="99"/>
    <w:unhideWhenUsed/>
    <w:rsid w:val="00FC423C"/>
    <w:pPr>
      <w:tabs>
        <w:tab w:val="center" w:pos="4536"/>
        <w:tab w:val="right" w:pos="9072"/>
      </w:tabs>
      <w:spacing w:after="0" w:line="240" w:lineRule="auto"/>
    </w:pPr>
  </w:style>
  <w:style w:type="paragraph" w:styleId="Notedebasdepage">
    <w:name w:val="footnote text"/>
    <w:basedOn w:val="Normal"/>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59"/>
    <w:rsid w:val="00EC0EF6"/>
    <w:rPr>
      <w:rFonts w:asciiTheme="minorHAnsi" w:eastAsiaTheme="minorHAnsi" w:hAnsiTheme="minorHAnsi" w:cstheme="minorBidi"/>
      <w:color w:val="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1">
    <w:name w:val="heading 1"/>
    <w:basedOn w:val="Normal"/>
    <w:next w:val="Normal"/>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qFormat/>
    <w:pPr>
      <w:keepNext/>
      <w:keepLines/>
      <w:spacing w:before="360" w:after="80"/>
      <w:contextualSpacing/>
      <w:outlineLvl w:val="1"/>
    </w:pPr>
    <w:rPr>
      <w:b/>
      <w:sz w:val="36"/>
      <w:szCs w:val="36"/>
    </w:rPr>
  </w:style>
  <w:style w:type="paragraph" w:styleId="Titre3">
    <w:name w:val="heading 3"/>
    <w:basedOn w:val="Normal"/>
    <w:next w:val="Normal"/>
    <w:qFormat/>
    <w:pPr>
      <w:keepNext/>
      <w:keepLines/>
      <w:spacing w:before="280" w:after="80"/>
      <w:contextualSpacing/>
      <w:outlineLvl w:val="2"/>
    </w:pPr>
    <w:rPr>
      <w:b/>
      <w:sz w:val="28"/>
      <w:szCs w:val="28"/>
    </w:rPr>
  </w:style>
  <w:style w:type="paragraph" w:styleId="Titre4">
    <w:name w:val="heading 4"/>
    <w:basedOn w:val="Normal"/>
    <w:next w:val="Normal"/>
    <w:qFormat/>
    <w:pPr>
      <w:keepNext/>
      <w:keepLines/>
      <w:spacing w:before="240" w:after="40"/>
      <w:contextualSpacing/>
      <w:outlineLvl w:val="3"/>
    </w:pPr>
    <w:rPr>
      <w:b/>
      <w:sz w:val="24"/>
      <w:szCs w:val="24"/>
    </w:rPr>
  </w:style>
  <w:style w:type="paragraph" w:styleId="Titre5">
    <w:name w:val="heading 5"/>
    <w:basedOn w:val="Normal"/>
    <w:next w:val="Normal"/>
    <w:qFormat/>
    <w:pPr>
      <w:keepNext/>
      <w:keepLines/>
      <w:spacing w:before="220" w:after="40"/>
      <w:contextualSpacing/>
      <w:outlineLvl w:val="4"/>
    </w:pPr>
    <w:rPr>
      <w:b/>
    </w:rPr>
  </w:style>
  <w:style w:type="paragraph" w:styleId="Titre6">
    <w:name w:val="heading 6"/>
    <w:basedOn w:val="Normal"/>
    <w:next w:val="Normal"/>
    <w:qFormat/>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TextedebullesCar">
    <w:name w:val="Texte de bulles Car"/>
    <w:basedOn w:val="Policepardfaut"/>
    <w:link w:val="Textedebulles"/>
    <w:uiPriority w:val="99"/>
    <w:semiHidden/>
    <w:qFormat/>
    <w:rsid w:val="00EC0EF6"/>
    <w:rPr>
      <w:rFonts w:ascii="Tahoma" w:hAnsi="Tahoma" w:cs="Tahoma"/>
      <w:sz w:val="16"/>
      <w:szCs w:val="16"/>
    </w:rPr>
  </w:style>
  <w:style w:type="character" w:styleId="Textedelespacerserv">
    <w:name w:val="Placeholder Text"/>
    <w:basedOn w:val="Policepardfaut"/>
    <w:uiPriority w:val="99"/>
    <w:semiHidden/>
    <w:qFormat/>
    <w:rsid w:val="00BF5C0E"/>
    <w:rPr>
      <w:color w:val="808080"/>
    </w:rPr>
  </w:style>
  <w:style w:type="character" w:customStyle="1" w:styleId="ObjetducommentaireCar">
    <w:name w:val="Objet du commentaire Car"/>
    <w:basedOn w:val="CommentaireCar"/>
    <w:link w:val="Objetducommentaire"/>
    <w:uiPriority w:val="99"/>
    <w:semiHidden/>
    <w:qFormat/>
    <w:rsid w:val="00062A8D"/>
    <w:rPr>
      <w:b/>
      <w:bCs/>
      <w:sz w:val="20"/>
      <w:szCs w:val="20"/>
    </w:rPr>
  </w:style>
  <w:style w:type="character" w:customStyle="1" w:styleId="En-tteCar">
    <w:name w:val="En-tête Car"/>
    <w:basedOn w:val="Policepardfaut"/>
    <w:uiPriority w:val="99"/>
    <w:qFormat/>
    <w:rsid w:val="00FC423C"/>
  </w:style>
  <w:style w:type="character" w:customStyle="1" w:styleId="PieddepageCar">
    <w:name w:val="Pied de page Car"/>
    <w:basedOn w:val="Policepardfaut"/>
    <w:link w:val="Pieddepage"/>
    <w:uiPriority w:val="99"/>
    <w:qFormat/>
    <w:rsid w:val="00FC423C"/>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keepLines/>
      <w:spacing w:before="480" w:after="120"/>
      <w:contextualSpacing/>
    </w:pPr>
    <w:rPr>
      <w:b/>
      <w:sz w:val="72"/>
      <w:szCs w:val="72"/>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rsid w:val="00EC0EF6"/>
    <w:pPr>
      <w:spacing w:after="0" w:line="240" w:lineRule="auto"/>
    </w:pPr>
    <w:rPr>
      <w:rFonts w:ascii="Tahoma" w:hAnsi="Tahoma" w:cs="Tahoma"/>
      <w:sz w:val="16"/>
      <w:szCs w:val="16"/>
    </w:rPr>
  </w:style>
  <w:style w:type="paragraph" w:styleId="Objetducommentaire">
    <w:name w:val="annotation subject"/>
    <w:basedOn w:val="Commentaire"/>
    <w:link w:val="ObjetducommentaireCar"/>
    <w:uiPriority w:val="99"/>
    <w:semiHidden/>
    <w:unhideWhenUsed/>
    <w:qFormat/>
    <w:rsid w:val="00062A8D"/>
    <w:rPr>
      <w:b/>
      <w:bCs/>
    </w:rPr>
  </w:style>
  <w:style w:type="paragraph" w:styleId="En-tte">
    <w:name w:val="header"/>
    <w:basedOn w:val="Normal"/>
    <w:uiPriority w:val="99"/>
    <w:unhideWhenUsed/>
    <w:rsid w:val="00FC423C"/>
    <w:pPr>
      <w:tabs>
        <w:tab w:val="center" w:pos="4536"/>
        <w:tab w:val="right" w:pos="9072"/>
      </w:tabs>
      <w:spacing w:after="0" w:line="240" w:lineRule="auto"/>
    </w:pPr>
  </w:style>
  <w:style w:type="paragraph" w:styleId="Pieddepage">
    <w:name w:val="footer"/>
    <w:basedOn w:val="Normal"/>
    <w:link w:val="PieddepageCar"/>
    <w:uiPriority w:val="99"/>
    <w:unhideWhenUsed/>
    <w:rsid w:val="00FC423C"/>
    <w:pPr>
      <w:tabs>
        <w:tab w:val="center" w:pos="4536"/>
        <w:tab w:val="right" w:pos="9072"/>
      </w:tabs>
      <w:spacing w:after="0" w:line="240" w:lineRule="auto"/>
    </w:pPr>
  </w:style>
  <w:style w:type="paragraph" w:styleId="Notedebasdepage">
    <w:name w:val="footnote text"/>
    <w:basedOn w:val="Normal"/>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59"/>
    <w:rsid w:val="00EC0EF6"/>
    <w:rPr>
      <w:rFonts w:asciiTheme="minorHAnsi" w:eastAsiaTheme="minorHAnsi" w:hAnsiTheme="minorHAnsi" w:cstheme="minorBidi"/>
      <w:color w:val="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forum.org/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istiques.developpement-durable.gouv.fr/fileadmin/documents/Produits_editoriaux/Publications/Etudes_et_documents/2011/ed-45-v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7046</Words>
  <Characters>38758</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45713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FONCEL</dc:creator>
  <cp:lastModifiedBy>segarcia</cp:lastModifiedBy>
  <cp:revision>15</cp:revision>
  <cp:lastPrinted>2018-04-06T07:42:00Z</cp:lastPrinted>
  <dcterms:created xsi:type="dcterms:W3CDTF">2018-04-07T14:21:00Z</dcterms:created>
  <dcterms:modified xsi:type="dcterms:W3CDTF">2018-04-07T15:12:00Z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lille 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