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BF" w:rsidRDefault="00A14A20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619375" cy="1047750"/>
            <wp:effectExtent l="19050" t="0" r="9525" b="0"/>
            <wp:wrapTight wrapText="bothSides">
              <wp:wrapPolygon edited="0">
                <wp:start x="-157" y="0"/>
                <wp:lineTo x="-157" y="21207"/>
                <wp:lineTo x="21679" y="21207"/>
                <wp:lineTo x="21679" y="0"/>
                <wp:lineTo x="-15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611FBF">
        <w:t>M.LHERM, C.TROQUIER, M.ROULENC, P.VEYSSET</w:t>
      </w:r>
    </w:p>
    <w:p w:rsidR="00EB683D" w:rsidRDefault="00611FBF">
      <w:r>
        <w:tab/>
      </w:r>
      <w:r w:rsidR="00A14A20">
        <w:t>UMRH - COM</w:t>
      </w:r>
      <w:r>
        <w:t>E</w:t>
      </w:r>
      <w:r w:rsidR="00A14A20">
        <w:t>TE Clermont - Theix</w:t>
      </w:r>
    </w:p>
    <w:p w:rsidR="00611FBF" w:rsidRDefault="00611FBF" w:rsidP="0069703D">
      <w:pPr>
        <w:jc w:val="both"/>
        <w:rPr>
          <w:b/>
          <w:sz w:val="32"/>
        </w:rPr>
      </w:pPr>
    </w:p>
    <w:p w:rsidR="00611FBF" w:rsidRDefault="00611FBF" w:rsidP="0069703D">
      <w:pPr>
        <w:jc w:val="both"/>
        <w:rPr>
          <w:b/>
          <w:sz w:val="32"/>
        </w:rPr>
      </w:pPr>
    </w:p>
    <w:p w:rsidR="00A14A20" w:rsidRPr="0069703D" w:rsidRDefault="00A14A20" w:rsidP="0069703D">
      <w:pPr>
        <w:jc w:val="both"/>
        <w:rPr>
          <w:b/>
          <w:sz w:val="32"/>
        </w:rPr>
      </w:pPr>
      <w:r w:rsidRPr="0069703D">
        <w:rPr>
          <w:b/>
          <w:sz w:val="32"/>
        </w:rPr>
        <w:t>Impacts des aides spécifiques à l'Agriculture Biologique</w:t>
      </w:r>
      <w:r w:rsidR="00644862">
        <w:rPr>
          <w:b/>
          <w:sz w:val="32"/>
        </w:rPr>
        <w:t xml:space="preserve"> en élevage bovin allaitant</w:t>
      </w:r>
    </w:p>
    <w:p w:rsidR="00A14A20" w:rsidRDefault="00A14A20" w:rsidP="0069703D">
      <w:pPr>
        <w:jc w:val="both"/>
      </w:pPr>
      <w:r>
        <w:t>Dans le cadre du suivi à long terme d'élevage</w:t>
      </w:r>
      <w:r w:rsidR="00726600">
        <w:t>s</w:t>
      </w:r>
      <w:r w:rsidR="00731067">
        <w:t xml:space="preserve"> charolais </w:t>
      </w:r>
      <w:r>
        <w:t xml:space="preserve">par l'équipe COMTE de l'UMRH INRA Theix, nous disposons de données d'un échantillon constant de </w:t>
      </w:r>
      <w:r w:rsidR="00731067">
        <w:t>9</w:t>
      </w:r>
      <w:r>
        <w:t xml:space="preserve"> élevages pratiquant l'AB et de </w:t>
      </w:r>
      <w:r w:rsidR="00731067">
        <w:t>41</w:t>
      </w:r>
      <w:r>
        <w:t xml:space="preserve"> conventionnel</w:t>
      </w:r>
      <w:r w:rsidR="00F65B6C">
        <w:t>s</w:t>
      </w:r>
      <w:r>
        <w:t xml:space="preserve"> s</w:t>
      </w:r>
      <w:r w:rsidR="000A3560">
        <w:t xml:space="preserve">ur </w:t>
      </w:r>
      <w:r w:rsidR="00726600">
        <w:t xml:space="preserve">les années </w:t>
      </w:r>
      <w:r w:rsidR="000A3560">
        <w:t>2013</w:t>
      </w:r>
      <w:r w:rsidR="00F65B6C">
        <w:t xml:space="preserve"> à</w:t>
      </w:r>
      <w:r w:rsidR="00731067">
        <w:t xml:space="preserve"> 2016 sur des systèmes et dans des milieux similaires</w:t>
      </w:r>
      <w:r>
        <w:t>.</w:t>
      </w:r>
      <w:r w:rsidR="000A3560" w:rsidRPr="000A3560">
        <w:t xml:space="preserve"> </w:t>
      </w:r>
      <w:r w:rsidR="00D65EB9" w:rsidRPr="00D65EB9">
        <w:rPr>
          <w:noProof/>
          <w:lang w:eastAsia="fr-FR"/>
        </w:rPr>
        <w:drawing>
          <wp:inline distT="0" distB="0" distL="0" distR="0">
            <wp:extent cx="5760720" cy="25610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67" w:rsidRDefault="00731067" w:rsidP="0069703D">
      <w:pPr>
        <w:jc w:val="both"/>
        <w:rPr>
          <w:i/>
        </w:rPr>
      </w:pPr>
      <w:r w:rsidRPr="00731067">
        <w:rPr>
          <w:i/>
        </w:rPr>
        <w:t>NB</w:t>
      </w:r>
      <w:r w:rsidR="000D58C0">
        <w:rPr>
          <w:i/>
        </w:rPr>
        <w:t>1</w:t>
      </w:r>
      <w:r w:rsidRPr="00731067">
        <w:rPr>
          <w:i/>
        </w:rPr>
        <w:t xml:space="preserve"> les données économiques sont exprimées en € constant 2016</w:t>
      </w:r>
    </w:p>
    <w:p w:rsidR="000D58C0" w:rsidRPr="00731067" w:rsidRDefault="000D58C0" w:rsidP="0069703D">
      <w:pPr>
        <w:jc w:val="both"/>
        <w:rPr>
          <w:i/>
        </w:rPr>
      </w:pPr>
      <w:r>
        <w:rPr>
          <w:i/>
        </w:rPr>
        <w:t>NB2 les aides spécifiques AB 2015 (et 2016) ne sont pas encore à ce jour soldées (dernière annonce pour début novembre 2017). Le montant 2015 et 2016 est donc une estimation prudente (trop ?) à partir de l’ATR</w:t>
      </w:r>
    </w:p>
    <w:p w:rsidR="0069703D" w:rsidRDefault="00404C7E" w:rsidP="0069703D">
      <w:pPr>
        <w:jc w:val="both"/>
      </w:pPr>
      <w:r w:rsidRPr="00404C7E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619125</wp:posOffset>
            </wp:positionV>
            <wp:extent cx="3141980" cy="1821180"/>
            <wp:effectExtent l="0" t="0" r="1270" b="7620"/>
            <wp:wrapTight wrapText="bothSides">
              <wp:wrapPolygon edited="0">
                <wp:start x="0" y="0"/>
                <wp:lineTo x="0" y="21464"/>
                <wp:lineTo x="21478" y="21464"/>
                <wp:lineTo x="2147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20">
        <w:t xml:space="preserve">Avec des structures assez voisines : même main d'œuvre, un peu moins de surface et moindre cheptel, les AB sont moins productifs : chargement inférieur et production de viande plus faible à l'UGB et surtout par UTH. Le produit obtenu par ha est </w:t>
      </w:r>
      <w:r w:rsidR="00726600">
        <w:t xml:space="preserve">logiquement </w:t>
      </w:r>
      <w:r w:rsidR="00A14A20">
        <w:t>plus faible de 11% mais avec beaucoup moins de charges opérationnelles (-50%) et légèrement moins de charges de structure (mécanisation) -8%.</w:t>
      </w:r>
      <w:r w:rsidR="000A3560">
        <w:t xml:space="preserve"> </w:t>
      </w:r>
      <w:r w:rsidR="00726600">
        <w:t>Cela leur procure</w:t>
      </w:r>
      <w:r w:rsidR="00A14A20">
        <w:t xml:space="preserve"> </w:t>
      </w:r>
      <w:r w:rsidR="00F33E8E">
        <w:t xml:space="preserve">en moyenne sur les 3 années </w:t>
      </w:r>
      <w:r w:rsidR="00A14A20">
        <w:t xml:space="preserve">un revenu </w:t>
      </w:r>
      <w:r w:rsidR="00311837">
        <w:t xml:space="preserve">de 24 </w:t>
      </w:r>
      <w:r>
        <w:t>6</w:t>
      </w:r>
      <w:r w:rsidR="00311837">
        <w:t>00 € par UTH alors qu'il n'est que de 17 000 € chez les conventionnels.</w:t>
      </w:r>
      <w:r w:rsidR="000A3560">
        <w:t xml:space="preserve"> </w:t>
      </w:r>
      <w:r w:rsidR="0069703D">
        <w:t>Les aides spécifiques à l'AB dont ils bénéficient ne compensent pas le plus faible produit dont le prix unitaire de la viande (+</w:t>
      </w:r>
      <w:r w:rsidR="003F40AF">
        <w:t>10</w:t>
      </w:r>
      <w:r w:rsidR="0069703D">
        <w:t xml:space="preserve">% </w:t>
      </w:r>
      <w:r w:rsidR="0069703D">
        <w:lastRenderedPageBreak/>
        <w:t>seulement en raison des ventes en maigre) ou des cultures est supérieur. Elles représentent néanmoins</w:t>
      </w:r>
      <w:r w:rsidR="003F40AF">
        <w:t>, en moyenne sur les 4 ans,</w:t>
      </w:r>
      <w:r w:rsidR="0069703D">
        <w:t xml:space="preserve"> 1</w:t>
      </w:r>
      <w:r w:rsidR="003F40AF">
        <w:t>7</w:t>
      </w:r>
      <w:r w:rsidR="0069703D">
        <w:t>% des aides totales, apportant 7% du produit et 2</w:t>
      </w:r>
      <w:r w:rsidR="003F40AF">
        <w:t>5</w:t>
      </w:r>
      <w:r w:rsidR="0069703D">
        <w:t xml:space="preserve">% du revenu. Sans elles, </w:t>
      </w:r>
      <w:r w:rsidR="00311837">
        <w:t xml:space="preserve">le montant est inférieur de 5% par ha et de 14% par UTH, </w:t>
      </w:r>
      <w:r w:rsidR="0069703D">
        <w:t>le revenu se retrouverait très proche de celui des conventionnels.</w:t>
      </w:r>
    </w:p>
    <w:p w:rsidR="009B0915" w:rsidRDefault="003F40AF" w:rsidP="0069703D">
      <w:pPr>
        <w:jc w:val="both"/>
      </w:pPr>
      <w:r w:rsidRPr="003F40AF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952500</wp:posOffset>
            </wp:positionV>
            <wp:extent cx="4012565" cy="2316480"/>
            <wp:effectExtent l="0" t="0" r="6985" b="7620"/>
            <wp:wrapTight wrapText="bothSides">
              <wp:wrapPolygon edited="0">
                <wp:start x="0" y="0"/>
                <wp:lineTo x="0" y="21493"/>
                <wp:lineTo x="21535" y="21493"/>
                <wp:lineTo x="2153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15">
        <w:t xml:space="preserve">En terme de </w:t>
      </w:r>
      <w:r w:rsidR="009B0915" w:rsidRPr="00EE2C13">
        <w:rPr>
          <w:b/>
        </w:rPr>
        <w:t>coût de production</w:t>
      </w:r>
      <w:r w:rsidR="009B0915">
        <w:t xml:space="preserve"> complet où tous les facteurs de production sont rémunérés en particulier le travail non salarié à 1,5 SMIC, celui-ci est plus élevé en AB car il y a certes une moindre utilisation d'intrants mais pour une production encore moindre d'où un total des charges par kg de viand</w:t>
      </w:r>
      <w:r w:rsidR="00F22C7D">
        <w:t>e vive produite supérieur : 4.41</w:t>
      </w:r>
      <w:r w:rsidR="009B0915">
        <w:t xml:space="preserve"> vs 3.</w:t>
      </w:r>
      <w:r w:rsidR="00F22C7D">
        <w:t>47</w:t>
      </w:r>
      <w:r w:rsidR="009B0915">
        <w:t xml:space="preserve"> soit + </w:t>
      </w:r>
      <w:r w:rsidR="00F22C7D">
        <w:t>27</w:t>
      </w:r>
      <w:r w:rsidR="009B0915">
        <w:t xml:space="preserve">%. On constate sur le graphique que sauf en 2015 les prix complétés par les aides y compris les aides spécifiques AB ne couvrent pas </w:t>
      </w:r>
      <w:r w:rsidR="00726600">
        <w:t>c</w:t>
      </w:r>
      <w:r w:rsidR="009B0915">
        <w:t>e coût de production, c'est aussi le cas en conventionnel. Ce qui signifie que la rémunération de l'éleveur est en réalité inférieure au barème appliqué de 1,5 SMIC.</w:t>
      </w:r>
      <w:r w:rsidR="00F22C7D">
        <w:t xml:space="preserve"> Les AB ont dégagé 1,12 SMIC en 2013, 0,68</w:t>
      </w:r>
      <w:r w:rsidR="00EB28A3">
        <w:t xml:space="preserve"> en </w:t>
      </w:r>
      <w:r w:rsidR="00F22C7D">
        <w:t>2014, 1,61</w:t>
      </w:r>
      <w:r w:rsidR="00EB28A3">
        <w:t xml:space="preserve"> en 2015</w:t>
      </w:r>
      <w:r w:rsidR="00F22C7D">
        <w:t xml:space="preserve"> et 1.22 en 2016</w:t>
      </w:r>
      <w:r w:rsidR="00EB28A3">
        <w:t xml:space="preserve"> ; sans aides </w:t>
      </w:r>
      <w:r w:rsidR="00F22C7D">
        <w:t xml:space="preserve">spécifiques </w:t>
      </w:r>
      <w:r w:rsidR="00EB28A3">
        <w:t>AB elle a</w:t>
      </w:r>
      <w:r w:rsidR="000D74A5">
        <w:t xml:space="preserve">urait été de respectivement 0,8, 0,5, </w:t>
      </w:r>
      <w:r w:rsidR="00D10A08">
        <w:t>1,3 et 1</w:t>
      </w:r>
      <w:r w:rsidR="00EB28A3">
        <w:t>.</w:t>
      </w:r>
    </w:p>
    <w:p w:rsidR="00EB28A3" w:rsidRDefault="00EB28A3" w:rsidP="0069703D">
      <w:pPr>
        <w:jc w:val="both"/>
      </w:pPr>
      <w:r>
        <w:t xml:space="preserve">En définitive : </w:t>
      </w:r>
      <w:r w:rsidR="00F95F7F">
        <w:t xml:space="preserve">Quel </w:t>
      </w:r>
      <w:r w:rsidR="00FB6F3B">
        <w:t>rôle</w:t>
      </w:r>
      <w:r w:rsidR="00F95F7F">
        <w:t xml:space="preserve"> pour ces aides au maintien au </w:t>
      </w:r>
      <w:r w:rsidR="00FB6F3B">
        <w:t>delà</w:t>
      </w:r>
      <w:r w:rsidR="00F95F7F">
        <w:t xml:space="preserve"> de la conversion ? </w:t>
      </w:r>
    </w:p>
    <w:p w:rsidR="00F95F7F" w:rsidRDefault="00FB6F3B" w:rsidP="0069703D">
      <w:pPr>
        <w:jc w:val="both"/>
      </w:pPr>
      <w:r>
        <w:t>V</w:t>
      </w:r>
      <w:r w:rsidR="00F95F7F">
        <w:t xml:space="preserve">eut-on vraiment favoriser le développement de l'AB ? </w:t>
      </w:r>
      <w:r>
        <w:t xml:space="preserve">Si le revenu en AB est identique aux conventionnels, quel intérêt de se convertir ? </w:t>
      </w:r>
      <w:r w:rsidR="00611FBF">
        <w:t>(</w:t>
      </w:r>
      <w:r>
        <w:t>à part l'éthique et la conviction !</w:t>
      </w:r>
      <w:r w:rsidR="00611FBF">
        <w:t>)</w:t>
      </w:r>
    </w:p>
    <w:p w:rsidR="00FB6F3B" w:rsidRDefault="00FB6F3B" w:rsidP="0069703D">
      <w:pPr>
        <w:jc w:val="both"/>
      </w:pPr>
      <w:r>
        <w:t xml:space="preserve">Faut-il rémunérer spécifiquement les aménités procurées à la collectivité par ce mode de production </w:t>
      </w:r>
      <w:r w:rsidR="00C71A52">
        <w:t xml:space="preserve">moins impactant sur l'environnement </w:t>
      </w:r>
      <w:r>
        <w:t xml:space="preserve">? ce que le marché </w:t>
      </w:r>
      <w:r w:rsidR="00C71A52">
        <w:t>peut faire</w:t>
      </w:r>
      <w:r>
        <w:t xml:space="preserve"> convenablement </w:t>
      </w:r>
      <w:r w:rsidR="00C71A52">
        <w:t xml:space="preserve">dans certaines productions comme </w:t>
      </w:r>
      <w:r>
        <w:t>en céréales et lait mais a du mal en viande bovine (+</w:t>
      </w:r>
      <w:r w:rsidR="000D74A5">
        <w:t>10</w:t>
      </w:r>
      <w:r>
        <w:t xml:space="preserve">% pour </w:t>
      </w:r>
      <w:r w:rsidR="000D74A5">
        <w:t>27</w:t>
      </w:r>
      <w:r>
        <w:t>% de surcout de production).</w:t>
      </w:r>
    </w:p>
    <w:p w:rsidR="00891741" w:rsidRDefault="00C71A52" w:rsidP="0069703D">
      <w:pPr>
        <w:jc w:val="both"/>
      </w:pPr>
      <w:r>
        <w:t>Le 2e pilier de la PAC 2015-2020 a prévu ce type de soutien que les régions peuvent abonder.</w:t>
      </w:r>
    </w:p>
    <w:p w:rsidR="00891741" w:rsidRDefault="00891741" w:rsidP="00E02527">
      <w:pPr>
        <w:jc w:val="center"/>
        <w:rPr>
          <w:b/>
        </w:rPr>
      </w:pPr>
      <w:r w:rsidRPr="00E02527">
        <w:rPr>
          <w:b/>
        </w:rPr>
        <w:t>Détail des aides par ha SAU</w:t>
      </w:r>
      <w:r w:rsidR="00E02527">
        <w:rPr>
          <w:b/>
        </w:rPr>
        <w:t xml:space="preserve"> (€ constant 2016)</w:t>
      </w:r>
      <w:r w:rsidR="00E02527" w:rsidRPr="00E02527">
        <w:rPr>
          <w:b/>
        </w:rPr>
        <w:t xml:space="preserve"> </w:t>
      </w:r>
      <w:r w:rsidR="00E02527" w:rsidRPr="00E02527">
        <w:rPr>
          <w:noProof/>
          <w:lang w:eastAsia="fr-FR"/>
        </w:rPr>
        <w:drawing>
          <wp:inline distT="0" distB="0" distL="0" distR="0">
            <wp:extent cx="5760720" cy="1421738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27" w:rsidRDefault="00E02527" w:rsidP="00922704">
      <w:r>
        <w:t>Remarques : le montant des DPU (DPB+PR+PV) sont identiques ; l’ICHN intègre la PHAE </w:t>
      </w:r>
      <w:r w:rsidR="00922704">
        <w:t>à partir de 2015</w:t>
      </w:r>
      <w:bookmarkStart w:id="0" w:name="_GoBack"/>
      <w:bookmarkEnd w:id="0"/>
      <w:r>
        <w:t>; les AB avaient le choix entre PHAE et maintien AB ;</w:t>
      </w:r>
    </w:p>
    <w:sectPr w:rsidR="00E02527" w:rsidSect="00EB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20"/>
    <w:rsid w:val="000A3560"/>
    <w:rsid w:val="000D58C0"/>
    <w:rsid w:val="000D74A5"/>
    <w:rsid w:val="00145EFE"/>
    <w:rsid w:val="003054D9"/>
    <w:rsid w:val="00311837"/>
    <w:rsid w:val="00315B2A"/>
    <w:rsid w:val="003D2B73"/>
    <w:rsid w:val="003F40AF"/>
    <w:rsid w:val="00404C7E"/>
    <w:rsid w:val="005178D6"/>
    <w:rsid w:val="00611FBF"/>
    <w:rsid w:val="00644862"/>
    <w:rsid w:val="0069703D"/>
    <w:rsid w:val="00726600"/>
    <w:rsid w:val="00731067"/>
    <w:rsid w:val="00891741"/>
    <w:rsid w:val="00922704"/>
    <w:rsid w:val="009B0915"/>
    <w:rsid w:val="009F123D"/>
    <w:rsid w:val="00A14A20"/>
    <w:rsid w:val="00C71A52"/>
    <w:rsid w:val="00D10A08"/>
    <w:rsid w:val="00D65EB9"/>
    <w:rsid w:val="00E02527"/>
    <w:rsid w:val="00EB28A3"/>
    <w:rsid w:val="00EB683D"/>
    <w:rsid w:val="00EE2C13"/>
    <w:rsid w:val="00F22C7D"/>
    <w:rsid w:val="00F33E8E"/>
    <w:rsid w:val="00F65B6C"/>
    <w:rsid w:val="00F95F7F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AF323"/>
  <w15:docId w15:val="{81720D62-93B1-4971-A4CB-5D4B0895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anomyme</dc:creator>
  <cp:lastModifiedBy>Michel Lherm</cp:lastModifiedBy>
  <cp:revision>11</cp:revision>
  <cp:lastPrinted>2016-08-30T07:19:00Z</cp:lastPrinted>
  <dcterms:created xsi:type="dcterms:W3CDTF">2017-10-18T09:20:00Z</dcterms:created>
  <dcterms:modified xsi:type="dcterms:W3CDTF">2017-10-19T13:58:00Z</dcterms:modified>
</cp:coreProperties>
</file>