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6B" w:rsidRPr="0082266B" w:rsidRDefault="0082266B" w:rsidP="008E750E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82266B">
        <w:rPr>
          <w:b/>
          <w:sz w:val="28"/>
          <w:szCs w:val="28"/>
          <w:u w:val="single"/>
        </w:rPr>
        <w:t>XXIV</w:t>
      </w:r>
      <w:r w:rsidRPr="0082266B">
        <w:rPr>
          <w:b/>
          <w:sz w:val="28"/>
          <w:szCs w:val="28"/>
          <w:u w:val="single"/>
          <w:vertAlign w:val="superscript"/>
        </w:rPr>
        <w:t>e</w:t>
      </w:r>
      <w:r w:rsidRPr="0082266B">
        <w:rPr>
          <w:b/>
          <w:sz w:val="28"/>
          <w:szCs w:val="28"/>
          <w:u w:val="single"/>
        </w:rPr>
        <w:t xml:space="preserve"> colloque ACLF &amp; XXVIII</w:t>
      </w:r>
      <w:r w:rsidRPr="0082266B">
        <w:rPr>
          <w:b/>
          <w:sz w:val="28"/>
          <w:szCs w:val="28"/>
          <w:u w:val="single"/>
          <w:vertAlign w:val="superscript"/>
        </w:rPr>
        <w:t>e</w:t>
      </w:r>
      <w:r w:rsidRPr="0082266B">
        <w:rPr>
          <w:b/>
          <w:sz w:val="28"/>
          <w:szCs w:val="28"/>
          <w:u w:val="single"/>
        </w:rPr>
        <w:t xml:space="preserve"> colloque ATC</w:t>
      </w:r>
    </w:p>
    <w:bookmarkEnd w:id="0"/>
    <w:p w:rsidR="0082266B" w:rsidRPr="0082266B" w:rsidRDefault="0082266B" w:rsidP="008E750E">
      <w:pPr>
        <w:jc w:val="center"/>
        <w:rPr>
          <w:b/>
          <w:sz w:val="28"/>
          <w:szCs w:val="28"/>
          <w:u w:val="single"/>
        </w:rPr>
      </w:pPr>
      <w:r w:rsidRPr="0082266B">
        <w:rPr>
          <w:b/>
          <w:sz w:val="28"/>
          <w:szCs w:val="28"/>
          <w:u w:val="single"/>
        </w:rPr>
        <w:t>12-14 septembre 2018 - St Malo</w:t>
      </w:r>
    </w:p>
    <w:p w:rsidR="0082266B" w:rsidRPr="0082266B" w:rsidRDefault="0082266B" w:rsidP="008E750E">
      <w:pPr>
        <w:jc w:val="center"/>
        <w:rPr>
          <w:b/>
          <w:sz w:val="28"/>
          <w:szCs w:val="28"/>
          <w:u w:val="single"/>
        </w:rPr>
      </w:pPr>
    </w:p>
    <w:p w:rsidR="0082266B" w:rsidRDefault="0082266B" w:rsidP="008E750E">
      <w:pPr>
        <w:jc w:val="center"/>
        <w:rPr>
          <w:b/>
          <w:sz w:val="32"/>
          <w:szCs w:val="32"/>
        </w:rPr>
      </w:pPr>
    </w:p>
    <w:p w:rsidR="00583E58" w:rsidRPr="008E750E" w:rsidRDefault="0093310C" w:rsidP="008E75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Intérêt de l’analyse chromosomique sur puce à ADN en cas de b</w:t>
      </w:r>
      <w:r w:rsidR="002F723C" w:rsidRPr="008E750E">
        <w:rPr>
          <w:b/>
          <w:sz w:val="32"/>
          <w:szCs w:val="32"/>
        </w:rPr>
        <w:t>locage de maturation méiotique testiculaire</w:t>
      </w:r>
    </w:p>
    <w:p w:rsidR="008E750E" w:rsidRDefault="008E750E" w:rsidP="008E750E">
      <w:pPr>
        <w:jc w:val="center"/>
      </w:pPr>
    </w:p>
    <w:p w:rsidR="008E750E" w:rsidRDefault="008E750E" w:rsidP="008E750E">
      <w:pPr>
        <w:jc w:val="both"/>
      </w:pPr>
      <w:r>
        <w:t>Farah GHIEH</w:t>
      </w:r>
      <w:r w:rsidRPr="008E750E">
        <w:rPr>
          <w:vertAlign w:val="superscript"/>
        </w:rPr>
        <w:t>1</w:t>
      </w:r>
      <w:r>
        <w:t>, Valérie MITCHELL</w:t>
      </w:r>
      <w:r>
        <w:rPr>
          <w:vertAlign w:val="superscript"/>
        </w:rPr>
        <w:t>3</w:t>
      </w:r>
      <w:r>
        <w:t xml:space="preserve">, </w:t>
      </w:r>
      <w:r w:rsidR="00B96CEA">
        <w:t>Marc BAILLY</w:t>
      </w:r>
      <w:r w:rsidR="00B96CEA">
        <w:rPr>
          <w:vertAlign w:val="superscript"/>
        </w:rPr>
        <w:t>4</w:t>
      </w:r>
      <w:r w:rsidR="00B96CEA">
        <w:t xml:space="preserve">, </w:t>
      </w:r>
      <w:r>
        <w:t>Vincent IZARD</w:t>
      </w:r>
      <w:r w:rsidR="00B96CEA">
        <w:rPr>
          <w:vertAlign w:val="superscript"/>
        </w:rPr>
        <w:t>5</w:t>
      </w:r>
      <w:r>
        <w:t>, Béatrice MANDON-PEPIN</w:t>
      </w:r>
      <w:r w:rsidR="00B96CEA">
        <w:rPr>
          <w:vertAlign w:val="superscript"/>
        </w:rPr>
        <w:t>6</w:t>
      </w:r>
      <w:r>
        <w:t xml:space="preserve">, </w:t>
      </w:r>
      <w:r w:rsidRPr="0082266B">
        <w:rPr>
          <w:u w:val="single"/>
        </w:rPr>
        <w:t>François VIALARD</w:t>
      </w:r>
      <w:r w:rsidRPr="008E750E">
        <w:rPr>
          <w:vertAlign w:val="superscript"/>
        </w:rPr>
        <w:t>1,2</w:t>
      </w:r>
    </w:p>
    <w:p w:rsidR="008E750E" w:rsidRDefault="008E750E" w:rsidP="008E750E">
      <w:pPr>
        <w:jc w:val="center"/>
      </w:pPr>
    </w:p>
    <w:p w:rsidR="008E750E" w:rsidRPr="008E750E" w:rsidRDefault="008E750E" w:rsidP="008E750E">
      <w:pPr>
        <w:rPr>
          <w:sz w:val="20"/>
          <w:szCs w:val="20"/>
        </w:rPr>
      </w:pPr>
      <w:r w:rsidRPr="008E750E">
        <w:rPr>
          <w:sz w:val="20"/>
          <w:szCs w:val="20"/>
        </w:rPr>
        <w:t xml:space="preserve">1 : EA7404, UFR des Sciences de la Santé Simone Veil, Montigny le </w:t>
      </w:r>
      <w:r w:rsidR="00EA36C6" w:rsidRPr="008E750E">
        <w:rPr>
          <w:sz w:val="20"/>
          <w:szCs w:val="20"/>
        </w:rPr>
        <w:t>Bretonneux</w:t>
      </w:r>
      <w:r w:rsidRPr="008E750E">
        <w:rPr>
          <w:sz w:val="20"/>
          <w:szCs w:val="20"/>
        </w:rPr>
        <w:t>, UVSQ</w:t>
      </w:r>
    </w:p>
    <w:p w:rsidR="008E750E" w:rsidRPr="008E750E" w:rsidRDefault="008E750E" w:rsidP="008E750E">
      <w:pPr>
        <w:rPr>
          <w:sz w:val="20"/>
          <w:szCs w:val="20"/>
        </w:rPr>
      </w:pPr>
      <w:r w:rsidRPr="008E750E">
        <w:rPr>
          <w:sz w:val="20"/>
          <w:szCs w:val="20"/>
        </w:rPr>
        <w:t>2 : Fédération de Génétique, CHI de Poissy St Germain en Laye, Poissy</w:t>
      </w:r>
    </w:p>
    <w:p w:rsidR="00B96CEA" w:rsidRDefault="008E750E" w:rsidP="008E750E">
      <w:pPr>
        <w:rPr>
          <w:sz w:val="20"/>
          <w:szCs w:val="20"/>
        </w:rPr>
      </w:pPr>
      <w:r w:rsidRPr="008E750E">
        <w:rPr>
          <w:sz w:val="20"/>
          <w:szCs w:val="20"/>
        </w:rPr>
        <w:t>3 :</w:t>
      </w:r>
      <w:r w:rsidR="00B96CEA">
        <w:rPr>
          <w:sz w:val="20"/>
          <w:szCs w:val="20"/>
        </w:rPr>
        <w:t xml:space="preserve"> Service de Gynécologie Obstétrique, CHI de Poissy St Germain en Laye</w:t>
      </w:r>
    </w:p>
    <w:p w:rsidR="008E750E" w:rsidRDefault="00B96CEA" w:rsidP="008E750E">
      <w:pPr>
        <w:rPr>
          <w:sz w:val="20"/>
          <w:szCs w:val="20"/>
        </w:rPr>
      </w:pPr>
      <w:r>
        <w:rPr>
          <w:sz w:val="20"/>
          <w:szCs w:val="20"/>
        </w:rPr>
        <w:t>4 : Département de Biologie de la reproduction,</w:t>
      </w:r>
      <w:r w:rsidR="008E750E" w:rsidRPr="008E750E">
        <w:rPr>
          <w:sz w:val="20"/>
          <w:szCs w:val="20"/>
        </w:rPr>
        <w:t xml:space="preserve"> </w:t>
      </w:r>
      <w:r w:rsidR="008E750E">
        <w:rPr>
          <w:sz w:val="20"/>
          <w:szCs w:val="20"/>
        </w:rPr>
        <w:t xml:space="preserve">CHRU </w:t>
      </w:r>
      <w:r>
        <w:rPr>
          <w:sz w:val="20"/>
          <w:szCs w:val="20"/>
        </w:rPr>
        <w:t xml:space="preserve">de </w:t>
      </w:r>
      <w:r w:rsidR="008E750E">
        <w:rPr>
          <w:sz w:val="20"/>
          <w:szCs w:val="20"/>
        </w:rPr>
        <w:t>Lille</w:t>
      </w:r>
    </w:p>
    <w:p w:rsidR="008E750E" w:rsidRDefault="00B96CEA" w:rsidP="00B96CEA">
      <w:pPr>
        <w:tabs>
          <w:tab w:val="left" w:pos="1574"/>
        </w:tabs>
        <w:rPr>
          <w:sz w:val="20"/>
          <w:szCs w:val="20"/>
        </w:rPr>
      </w:pPr>
      <w:r>
        <w:rPr>
          <w:sz w:val="20"/>
          <w:szCs w:val="20"/>
        </w:rPr>
        <w:t>5</w:t>
      </w:r>
      <w:r w:rsidR="008E750E">
        <w:rPr>
          <w:sz w:val="20"/>
          <w:szCs w:val="20"/>
        </w:rPr>
        <w:t xml:space="preserve"> : </w:t>
      </w:r>
      <w:r>
        <w:rPr>
          <w:sz w:val="20"/>
          <w:szCs w:val="20"/>
        </w:rPr>
        <w:t xml:space="preserve">Service d’urologie, </w:t>
      </w:r>
      <w:proofErr w:type="spellStart"/>
      <w:r>
        <w:rPr>
          <w:sz w:val="20"/>
          <w:szCs w:val="20"/>
        </w:rPr>
        <w:t>Hopital</w:t>
      </w:r>
      <w:proofErr w:type="spellEnd"/>
      <w:r>
        <w:rPr>
          <w:sz w:val="20"/>
          <w:szCs w:val="20"/>
        </w:rPr>
        <w:t xml:space="preserve"> du Kremlin Bicêtre</w:t>
      </w:r>
    </w:p>
    <w:p w:rsidR="008E750E" w:rsidRPr="008E750E" w:rsidRDefault="00B96CEA" w:rsidP="008E750E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8E750E">
        <w:rPr>
          <w:sz w:val="20"/>
          <w:szCs w:val="20"/>
        </w:rPr>
        <w:t xml:space="preserve"> : </w:t>
      </w:r>
      <w:r w:rsidR="008E750E" w:rsidRPr="008E750E">
        <w:rPr>
          <w:sz w:val="20"/>
          <w:szCs w:val="20"/>
        </w:rPr>
        <w:t>UMR-BDR, INRA de Jouy en Josas</w:t>
      </w:r>
    </w:p>
    <w:p w:rsidR="008E750E" w:rsidRPr="008E750E" w:rsidRDefault="008E750E" w:rsidP="008E750E">
      <w:pPr>
        <w:rPr>
          <w:sz w:val="20"/>
          <w:szCs w:val="20"/>
        </w:rPr>
      </w:pPr>
    </w:p>
    <w:p w:rsidR="008E750E" w:rsidRDefault="008E750E" w:rsidP="008E75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605C4" w:rsidRPr="00A2318E" w:rsidRDefault="008E750E" w:rsidP="00A2318E">
      <w:pPr>
        <w:spacing w:after="200" w:line="276" w:lineRule="auto"/>
        <w:jc w:val="both"/>
        <w:rPr>
          <w:rFonts w:eastAsia="Calibri"/>
          <w:lang w:eastAsia="en-US"/>
        </w:rPr>
      </w:pPr>
      <w:r w:rsidRPr="00A2318E">
        <w:rPr>
          <w:rFonts w:eastAsia="Calibri"/>
          <w:u w:val="single"/>
          <w:lang w:eastAsia="en-US"/>
        </w:rPr>
        <w:t>Introduction</w:t>
      </w:r>
      <w:r w:rsidR="004605C4" w:rsidRPr="00A2318E">
        <w:rPr>
          <w:rFonts w:eastAsia="Calibri"/>
          <w:lang w:eastAsia="en-US"/>
        </w:rPr>
        <w:t xml:space="preserve"> : </w:t>
      </w:r>
      <w:r w:rsidR="0079184A">
        <w:rPr>
          <w:rFonts w:eastAsia="Calibri"/>
          <w:lang w:eastAsia="en-US"/>
        </w:rPr>
        <w:t>L</w:t>
      </w:r>
      <w:r w:rsidR="008779C1" w:rsidRPr="00A2318E">
        <w:rPr>
          <w:rFonts w:eastAsia="Calibri"/>
          <w:lang w:eastAsia="en-US"/>
        </w:rPr>
        <w:t>'azoospermie, définie par l'absence de spermatozoïdes dans l’éjaculat, affecte environ 1% des hommes</w:t>
      </w:r>
      <w:r w:rsidR="0079184A">
        <w:rPr>
          <w:rFonts w:eastAsia="Calibri"/>
          <w:lang w:eastAsia="en-US"/>
        </w:rPr>
        <w:t>. On définit 2 types d</w:t>
      </w:r>
      <w:r w:rsidR="00C71925" w:rsidRPr="00A2318E">
        <w:rPr>
          <w:rFonts w:eastAsia="Calibri"/>
          <w:lang w:eastAsia="en-US"/>
        </w:rPr>
        <w:t>’azoospermie</w:t>
      </w:r>
      <w:r w:rsidR="0079184A">
        <w:rPr>
          <w:rFonts w:eastAsia="Calibri"/>
          <w:lang w:eastAsia="en-US"/>
        </w:rPr>
        <w:t> : l’obstructive, par blocage des voies éjaculatrices, et la</w:t>
      </w:r>
      <w:r w:rsidR="00C71925" w:rsidRPr="00A2318E">
        <w:rPr>
          <w:rFonts w:eastAsia="Calibri"/>
          <w:lang w:eastAsia="en-US"/>
        </w:rPr>
        <w:t xml:space="preserve"> non</w:t>
      </w:r>
      <w:r w:rsidR="0079184A">
        <w:rPr>
          <w:rFonts w:eastAsia="Calibri"/>
          <w:lang w:eastAsia="en-US"/>
        </w:rPr>
        <w:t>-</w:t>
      </w:r>
      <w:r w:rsidR="00C71925" w:rsidRPr="00A2318E">
        <w:rPr>
          <w:rFonts w:eastAsia="Calibri"/>
          <w:lang w:eastAsia="en-US"/>
        </w:rPr>
        <w:t>obstructive</w:t>
      </w:r>
      <w:r w:rsidR="0079184A">
        <w:rPr>
          <w:rFonts w:eastAsia="Calibri"/>
          <w:lang w:eastAsia="en-US"/>
        </w:rPr>
        <w:t xml:space="preserve"> (NOA)</w:t>
      </w:r>
      <w:r w:rsidR="008779C1" w:rsidRPr="00A2318E">
        <w:rPr>
          <w:rFonts w:eastAsia="Calibri"/>
          <w:lang w:eastAsia="en-US"/>
        </w:rPr>
        <w:t xml:space="preserve">, </w:t>
      </w:r>
      <w:r w:rsidR="0079184A">
        <w:rPr>
          <w:rFonts w:eastAsia="Calibri"/>
          <w:lang w:eastAsia="en-US"/>
        </w:rPr>
        <w:t xml:space="preserve">par défaut de la spermatogenèse. </w:t>
      </w:r>
      <w:r w:rsidR="0079184A" w:rsidRPr="00A2318E">
        <w:rPr>
          <w:rFonts w:eastAsia="Calibri"/>
          <w:lang w:eastAsia="en-US"/>
        </w:rPr>
        <w:t xml:space="preserve">Les causes génétiques connues </w:t>
      </w:r>
      <w:r w:rsidR="0079184A">
        <w:rPr>
          <w:rFonts w:eastAsia="Calibri"/>
          <w:lang w:eastAsia="en-US"/>
        </w:rPr>
        <w:t xml:space="preserve">à l’origine des NOA </w:t>
      </w:r>
      <w:r w:rsidR="0079184A" w:rsidRPr="00A2318E">
        <w:rPr>
          <w:rFonts w:eastAsia="Calibri"/>
          <w:lang w:eastAsia="en-US"/>
        </w:rPr>
        <w:t xml:space="preserve">sont le syndrome de </w:t>
      </w:r>
      <w:r w:rsidR="0079184A">
        <w:rPr>
          <w:rFonts w:eastAsia="Calibri"/>
          <w:lang w:eastAsia="en-US"/>
        </w:rPr>
        <w:t>K</w:t>
      </w:r>
      <w:r w:rsidR="0079184A" w:rsidRPr="00A2318E">
        <w:rPr>
          <w:rFonts w:eastAsia="Calibri"/>
          <w:lang w:eastAsia="en-US"/>
        </w:rPr>
        <w:t>linefelter, les microdélétions du chromosome Y, et les remaniements chromosomiques</w:t>
      </w:r>
      <w:r w:rsidR="008819E1">
        <w:rPr>
          <w:rFonts w:eastAsia="Calibri"/>
          <w:lang w:eastAsia="en-US"/>
        </w:rPr>
        <w:t xml:space="preserve"> (</w:t>
      </w:r>
      <w:r w:rsidR="0079184A">
        <w:rPr>
          <w:rFonts w:eastAsia="Calibri"/>
          <w:lang w:eastAsia="en-US"/>
        </w:rPr>
        <w:t>20</w:t>
      </w:r>
      <w:r w:rsidR="0079184A" w:rsidRPr="00F4444D">
        <w:rPr>
          <w:rFonts w:eastAsia="Calibri"/>
          <w:lang w:eastAsia="en-US"/>
        </w:rPr>
        <w:t xml:space="preserve">% </w:t>
      </w:r>
      <w:r w:rsidR="0079184A" w:rsidRPr="00A2318E">
        <w:rPr>
          <w:rFonts w:eastAsia="Calibri"/>
          <w:lang w:eastAsia="en-US"/>
        </w:rPr>
        <w:t xml:space="preserve">des </w:t>
      </w:r>
      <w:r w:rsidR="008819E1">
        <w:rPr>
          <w:rFonts w:eastAsia="Calibri"/>
          <w:lang w:eastAsia="en-US"/>
        </w:rPr>
        <w:t>NOA)</w:t>
      </w:r>
      <w:r w:rsidR="0079184A">
        <w:rPr>
          <w:rFonts w:eastAsia="Calibri"/>
          <w:lang w:eastAsia="en-US"/>
        </w:rPr>
        <w:t>. Différents phénotypes de NOA existent dont l’a</w:t>
      </w:r>
      <w:r w:rsidR="008779C1" w:rsidRPr="00A2318E">
        <w:rPr>
          <w:rFonts w:eastAsia="Calibri"/>
          <w:lang w:eastAsia="en-US"/>
        </w:rPr>
        <w:t>rrêt de maturation testiculaire dans environ 5% d</w:t>
      </w:r>
      <w:r w:rsidR="0079184A">
        <w:rPr>
          <w:rFonts w:eastAsia="Calibri"/>
          <w:lang w:eastAsia="en-US"/>
        </w:rPr>
        <w:t>es cas</w:t>
      </w:r>
      <w:r w:rsidR="008819E1">
        <w:rPr>
          <w:rFonts w:eastAsia="Calibri"/>
          <w:lang w:eastAsia="en-US"/>
        </w:rPr>
        <w:t xml:space="preserve"> où d</w:t>
      </w:r>
      <w:r w:rsidR="0079184A">
        <w:rPr>
          <w:rFonts w:eastAsia="Calibri"/>
          <w:lang w:eastAsia="en-US"/>
        </w:rPr>
        <w:t>es délétions du gène TEX11 ont été décrites comme récurrentes</w:t>
      </w:r>
      <w:r w:rsidR="008819E1">
        <w:rPr>
          <w:rFonts w:eastAsia="Calibri"/>
          <w:lang w:eastAsia="en-US"/>
        </w:rPr>
        <w:t>. L</w:t>
      </w:r>
      <w:r w:rsidR="0079184A">
        <w:rPr>
          <w:rFonts w:eastAsia="Calibri"/>
          <w:lang w:eastAsia="en-US"/>
        </w:rPr>
        <w:t xml:space="preserve">’objectif de ce travail est de savoir si d’autres </w:t>
      </w:r>
      <w:proofErr w:type="spellStart"/>
      <w:r w:rsidR="00EA36C6" w:rsidRPr="00A2318E">
        <w:rPr>
          <w:rFonts w:eastAsia="Calibri"/>
          <w:lang w:eastAsia="en-US"/>
        </w:rPr>
        <w:t>C</w:t>
      </w:r>
      <w:r w:rsidR="00A4118F" w:rsidRPr="00A2318E">
        <w:rPr>
          <w:rFonts w:eastAsia="Calibri"/>
          <w:lang w:eastAsia="en-US"/>
        </w:rPr>
        <w:t>NVs</w:t>
      </w:r>
      <w:proofErr w:type="spellEnd"/>
      <w:r w:rsidR="00A4118F" w:rsidRPr="00A2318E">
        <w:rPr>
          <w:rFonts w:eastAsia="Calibri"/>
          <w:lang w:eastAsia="en-US"/>
        </w:rPr>
        <w:t xml:space="preserve"> </w:t>
      </w:r>
      <w:r w:rsidR="00EA36C6" w:rsidRPr="00A2318E">
        <w:rPr>
          <w:rFonts w:eastAsia="Calibri"/>
          <w:lang w:eastAsia="en-US"/>
        </w:rPr>
        <w:t>pou</w:t>
      </w:r>
      <w:r w:rsidR="0079184A">
        <w:rPr>
          <w:rFonts w:eastAsia="Calibri"/>
          <w:lang w:eastAsia="en-US"/>
        </w:rPr>
        <w:t>rr</w:t>
      </w:r>
      <w:r w:rsidR="00EA36C6" w:rsidRPr="00A2318E">
        <w:rPr>
          <w:rFonts w:eastAsia="Calibri"/>
          <w:lang w:eastAsia="en-US"/>
        </w:rPr>
        <w:t xml:space="preserve">aient </w:t>
      </w:r>
      <w:r w:rsidR="00D752A5">
        <w:rPr>
          <w:rFonts w:eastAsia="Calibri"/>
          <w:lang w:eastAsia="en-US"/>
        </w:rPr>
        <w:t>à l’origine d’</w:t>
      </w:r>
      <w:r w:rsidR="00EA36C6" w:rsidRPr="00A2318E">
        <w:rPr>
          <w:rFonts w:eastAsia="Calibri"/>
          <w:lang w:eastAsia="en-US"/>
        </w:rPr>
        <w:t>arrêt de maturation.</w:t>
      </w:r>
      <w:r w:rsidR="00C71925" w:rsidRPr="00A2318E">
        <w:rPr>
          <w:rFonts w:eastAsia="Calibri"/>
          <w:lang w:eastAsia="en-US"/>
        </w:rPr>
        <w:t xml:space="preserve"> </w:t>
      </w:r>
      <w:r w:rsidR="00F04A00" w:rsidRPr="00A2318E">
        <w:rPr>
          <w:rFonts w:eastAsia="Calibri"/>
          <w:lang w:eastAsia="en-US"/>
        </w:rPr>
        <w:t xml:space="preserve"> </w:t>
      </w:r>
    </w:p>
    <w:p w:rsidR="008E750E" w:rsidRPr="00A2318E" w:rsidRDefault="004605C4" w:rsidP="00A2318E">
      <w:pPr>
        <w:spacing w:after="200" w:line="276" w:lineRule="auto"/>
        <w:jc w:val="both"/>
        <w:rPr>
          <w:rFonts w:eastAsia="Calibri"/>
          <w:lang w:eastAsia="en-US"/>
        </w:rPr>
      </w:pPr>
      <w:r w:rsidRPr="00A2318E">
        <w:rPr>
          <w:rFonts w:eastAsia="Calibri"/>
          <w:u w:val="single"/>
          <w:lang w:eastAsia="en-US"/>
        </w:rPr>
        <w:t>Matériel et métho</w:t>
      </w:r>
      <w:r w:rsidR="008E750E" w:rsidRPr="00A2318E">
        <w:rPr>
          <w:rFonts w:eastAsia="Calibri"/>
          <w:u w:val="single"/>
          <w:lang w:eastAsia="en-US"/>
        </w:rPr>
        <w:t>de</w:t>
      </w:r>
      <w:r w:rsidRPr="00A2318E">
        <w:rPr>
          <w:rFonts w:eastAsia="Calibri"/>
          <w:lang w:eastAsia="en-US"/>
        </w:rPr>
        <w:t> :</w:t>
      </w:r>
      <w:r w:rsidR="007F3A94" w:rsidRPr="00A2318E">
        <w:rPr>
          <w:rFonts w:eastAsia="Calibri"/>
          <w:lang w:eastAsia="en-US"/>
        </w:rPr>
        <w:t xml:space="preserve"> </w:t>
      </w:r>
      <w:r w:rsidR="00D752A5">
        <w:rPr>
          <w:rFonts w:eastAsia="Calibri"/>
          <w:lang w:eastAsia="en-US"/>
        </w:rPr>
        <w:t>Une cohorte de 20 patients</w:t>
      </w:r>
      <w:r w:rsidR="008819E1">
        <w:rPr>
          <w:rFonts w:eastAsia="Calibri"/>
          <w:lang w:eastAsia="en-US"/>
        </w:rPr>
        <w:t xml:space="preserve">, avec caryotype normal et sans </w:t>
      </w:r>
      <w:proofErr w:type="spellStart"/>
      <w:r w:rsidR="008819E1">
        <w:rPr>
          <w:rFonts w:eastAsia="Calibri"/>
          <w:lang w:eastAsia="en-US"/>
        </w:rPr>
        <w:t>microdélétion</w:t>
      </w:r>
      <w:proofErr w:type="spellEnd"/>
      <w:r w:rsidR="008819E1">
        <w:rPr>
          <w:rFonts w:eastAsia="Calibri"/>
          <w:lang w:eastAsia="en-US"/>
        </w:rPr>
        <w:t xml:space="preserve"> du chromosome Y, </w:t>
      </w:r>
      <w:r w:rsidR="00D752A5">
        <w:rPr>
          <w:rFonts w:eastAsia="Calibri"/>
          <w:lang w:eastAsia="en-US"/>
        </w:rPr>
        <w:t>ont été inclus dans cette étude. U</w:t>
      </w:r>
      <w:r w:rsidR="007F3A94" w:rsidRPr="00A2318E">
        <w:rPr>
          <w:rFonts w:eastAsia="Calibri"/>
          <w:lang w:eastAsia="en-US"/>
        </w:rPr>
        <w:t xml:space="preserve">ne puce </w:t>
      </w:r>
      <w:proofErr w:type="spellStart"/>
      <w:r w:rsidR="007F3A94" w:rsidRPr="00A2318E">
        <w:rPr>
          <w:rFonts w:eastAsia="Calibri"/>
          <w:lang w:eastAsia="en-US"/>
        </w:rPr>
        <w:t>Agilent</w:t>
      </w:r>
      <w:proofErr w:type="spellEnd"/>
      <w:r w:rsidR="007F3A94" w:rsidRPr="00A2318E">
        <w:rPr>
          <w:rFonts w:eastAsia="Calibri"/>
          <w:lang w:eastAsia="en-US"/>
        </w:rPr>
        <w:t xml:space="preserve"> </w:t>
      </w:r>
      <w:proofErr w:type="spellStart"/>
      <w:r w:rsidR="007F3A94" w:rsidRPr="00A2318E">
        <w:rPr>
          <w:rFonts w:eastAsia="Calibri"/>
          <w:lang w:eastAsia="en-US"/>
        </w:rPr>
        <w:t>Genetisure</w:t>
      </w:r>
      <w:proofErr w:type="spellEnd"/>
      <w:r w:rsidR="007F3A94" w:rsidRPr="00A2318E">
        <w:rPr>
          <w:rFonts w:eastAsia="Calibri"/>
          <w:lang w:eastAsia="en-US"/>
        </w:rPr>
        <w:t xml:space="preserve"> 400k CGH+SNP a été utilisée</w:t>
      </w:r>
      <w:r w:rsidRPr="00A2318E">
        <w:rPr>
          <w:rFonts w:eastAsia="Calibri"/>
          <w:lang w:eastAsia="en-US"/>
        </w:rPr>
        <w:t>.</w:t>
      </w:r>
    </w:p>
    <w:p w:rsidR="00C073E2" w:rsidRDefault="008E750E" w:rsidP="00A2318E">
      <w:pPr>
        <w:spacing w:line="276" w:lineRule="auto"/>
        <w:jc w:val="both"/>
      </w:pPr>
      <w:r w:rsidRPr="00A2318E">
        <w:rPr>
          <w:rFonts w:eastAsia="Calibri"/>
          <w:u w:val="single"/>
          <w:lang w:eastAsia="en-US"/>
        </w:rPr>
        <w:t>Résultats</w:t>
      </w:r>
      <w:r w:rsidR="00A30620" w:rsidRPr="00A2318E">
        <w:rPr>
          <w:rFonts w:eastAsia="Calibri"/>
          <w:u w:val="single"/>
          <w:lang w:eastAsia="en-US"/>
        </w:rPr>
        <w:t> </w:t>
      </w:r>
      <w:r w:rsidR="00A30620" w:rsidRPr="00A2318E">
        <w:rPr>
          <w:rFonts w:eastAsia="Calibri"/>
          <w:lang w:eastAsia="en-US"/>
        </w:rPr>
        <w:t>:</w:t>
      </w:r>
      <w:r w:rsidR="00244780" w:rsidRPr="00A2318E">
        <w:rPr>
          <w:rFonts w:eastAsia="Calibri"/>
          <w:lang w:eastAsia="en-US"/>
        </w:rPr>
        <w:t xml:space="preserve"> </w:t>
      </w:r>
      <w:r w:rsidR="00F4369E" w:rsidRPr="00A2318E">
        <w:rPr>
          <w:rFonts w:eastAsia="Calibri"/>
          <w:lang w:eastAsia="en-US"/>
        </w:rPr>
        <w:t xml:space="preserve">Au total, 989 </w:t>
      </w:r>
      <w:proofErr w:type="spellStart"/>
      <w:r w:rsidR="00F4369E" w:rsidRPr="00A2318E">
        <w:rPr>
          <w:rFonts w:eastAsia="Calibri"/>
          <w:lang w:eastAsia="en-US"/>
        </w:rPr>
        <w:t>CNVs</w:t>
      </w:r>
      <w:proofErr w:type="spellEnd"/>
      <w:r w:rsidR="00F4369E" w:rsidRPr="00A2318E">
        <w:rPr>
          <w:rFonts w:eastAsia="Calibri"/>
          <w:lang w:eastAsia="en-US"/>
        </w:rPr>
        <w:t xml:space="preserve"> </w:t>
      </w:r>
      <w:r w:rsidR="00D752A5">
        <w:rPr>
          <w:rFonts w:eastAsia="Calibri"/>
          <w:lang w:eastAsia="en-US"/>
        </w:rPr>
        <w:t xml:space="preserve">ont été identifiés </w:t>
      </w:r>
      <w:r w:rsidR="008819E1">
        <w:rPr>
          <w:rFonts w:eastAsia="Calibri"/>
          <w:lang w:eastAsia="en-US"/>
        </w:rPr>
        <w:t>(</w:t>
      </w:r>
      <w:r w:rsidR="00F4369E" w:rsidRPr="00A2318E">
        <w:rPr>
          <w:rFonts w:eastAsia="Calibri"/>
          <w:lang w:eastAsia="en-US"/>
        </w:rPr>
        <w:t>49 ± 12 par patient</w:t>
      </w:r>
      <w:r w:rsidR="008819E1">
        <w:rPr>
          <w:rFonts w:eastAsia="Calibri"/>
          <w:lang w:eastAsia="en-US"/>
        </w:rPr>
        <w:t>)</w:t>
      </w:r>
      <w:r w:rsidR="00F4369E" w:rsidRPr="00A2318E">
        <w:rPr>
          <w:rFonts w:eastAsia="Calibri"/>
          <w:lang w:eastAsia="en-US"/>
        </w:rPr>
        <w:t xml:space="preserve">. Après élimination des CNVs dus aux variations de l’ADN de référence et les </w:t>
      </w:r>
      <w:proofErr w:type="spellStart"/>
      <w:r w:rsidR="00F4369E" w:rsidRPr="00A2318E">
        <w:rPr>
          <w:rFonts w:eastAsia="Calibri"/>
          <w:lang w:eastAsia="en-US"/>
        </w:rPr>
        <w:t>CNVs</w:t>
      </w:r>
      <w:proofErr w:type="spellEnd"/>
      <w:r w:rsidR="00F4369E" w:rsidRPr="00A2318E">
        <w:rPr>
          <w:rFonts w:eastAsia="Calibri"/>
          <w:lang w:eastAsia="en-US"/>
        </w:rPr>
        <w:t xml:space="preserve"> récurrents, 2</w:t>
      </w:r>
      <w:r w:rsidR="00A427A1" w:rsidRPr="00A2318E">
        <w:rPr>
          <w:rFonts w:eastAsia="Calibri"/>
          <w:lang w:eastAsia="en-US"/>
        </w:rPr>
        <w:t xml:space="preserve">36 </w:t>
      </w:r>
      <w:proofErr w:type="spellStart"/>
      <w:r w:rsidR="00A427A1" w:rsidRPr="00A2318E">
        <w:rPr>
          <w:rFonts w:eastAsia="Calibri"/>
          <w:lang w:eastAsia="en-US"/>
        </w:rPr>
        <w:t>CNVs</w:t>
      </w:r>
      <w:proofErr w:type="spellEnd"/>
      <w:r w:rsidR="00A427A1" w:rsidRPr="00A2318E">
        <w:rPr>
          <w:rFonts w:eastAsia="Calibri"/>
          <w:lang w:eastAsia="en-US"/>
        </w:rPr>
        <w:t xml:space="preserve"> </w:t>
      </w:r>
      <w:r w:rsidR="00D752A5">
        <w:rPr>
          <w:rFonts w:eastAsia="Calibri"/>
          <w:lang w:eastAsia="en-US"/>
        </w:rPr>
        <w:t>ont</w:t>
      </w:r>
      <w:r w:rsidR="00A427A1" w:rsidRPr="00A2318E">
        <w:rPr>
          <w:rFonts w:eastAsia="Calibri"/>
          <w:lang w:eastAsia="en-US"/>
        </w:rPr>
        <w:t xml:space="preserve"> alors </w:t>
      </w:r>
      <w:r w:rsidR="00D752A5">
        <w:rPr>
          <w:rFonts w:eastAsia="Calibri"/>
          <w:lang w:eastAsia="en-US"/>
        </w:rPr>
        <w:t xml:space="preserve">été </w:t>
      </w:r>
      <w:r w:rsidR="008819E1">
        <w:rPr>
          <w:rFonts w:eastAsia="Calibri"/>
          <w:lang w:eastAsia="en-US"/>
        </w:rPr>
        <w:t>retenus</w:t>
      </w:r>
      <w:r w:rsidR="00D752A5">
        <w:rPr>
          <w:rFonts w:eastAsia="Calibri"/>
          <w:lang w:eastAsia="en-US"/>
        </w:rPr>
        <w:t>,</w:t>
      </w:r>
      <w:r w:rsidR="00A427A1" w:rsidRPr="00A2318E">
        <w:rPr>
          <w:rFonts w:eastAsia="Calibri"/>
          <w:lang w:eastAsia="en-US"/>
        </w:rPr>
        <w:t xml:space="preserve"> </w:t>
      </w:r>
      <w:r w:rsidR="00D752A5">
        <w:rPr>
          <w:rFonts w:eastAsia="Calibri"/>
          <w:lang w:eastAsia="en-US"/>
        </w:rPr>
        <w:t>dont</w:t>
      </w:r>
      <w:r w:rsidR="00F4369E" w:rsidRPr="00A2318E">
        <w:rPr>
          <w:rFonts w:eastAsia="Calibri"/>
          <w:lang w:eastAsia="en-US"/>
        </w:rPr>
        <w:t xml:space="preserve"> 56 </w:t>
      </w:r>
      <w:proofErr w:type="spellStart"/>
      <w:r w:rsidR="00F4369E" w:rsidRPr="00A2318E">
        <w:rPr>
          <w:rFonts w:eastAsia="Calibri"/>
          <w:lang w:eastAsia="en-US"/>
        </w:rPr>
        <w:t>nullosomies</w:t>
      </w:r>
      <w:proofErr w:type="spellEnd"/>
      <w:r w:rsidR="00F4369E" w:rsidRPr="00A2318E">
        <w:rPr>
          <w:rFonts w:eastAsia="Calibri"/>
          <w:lang w:eastAsia="en-US"/>
        </w:rPr>
        <w:t xml:space="preserve"> </w:t>
      </w:r>
      <w:r w:rsidR="00517E7D" w:rsidRPr="00A2318E">
        <w:rPr>
          <w:rFonts w:eastAsia="Calibri"/>
          <w:lang w:eastAsia="en-US"/>
        </w:rPr>
        <w:t xml:space="preserve">et 180 </w:t>
      </w:r>
      <w:proofErr w:type="spellStart"/>
      <w:r w:rsidR="00517E7D" w:rsidRPr="00A2318E">
        <w:rPr>
          <w:rFonts w:eastAsia="Calibri"/>
          <w:lang w:eastAsia="en-US"/>
        </w:rPr>
        <w:t>CNVs</w:t>
      </w:r>
      <w:proofErr w:type="spellEnd"/>
      <w:r w:rsidR="00517E7D" w:rsidRPr="00A2318E">
        <w:rPr>
          <w:rFonts w:eastAsia="Calibri"/>
          <w:lang w:eastAsia="en-US"/>
        </w:rPr>
        <w:t xml:space="preserve"> hétérozygotes. </w:t>
      </w:r>
      <w:r w:rsidR="00D752A5">
        <w:rPr>
          <w:rFonts w:eastAsia="Calibri"/>
          <w:lang w:eastAsia="en-US"/>
        </w:rPr>
        <w:t>Parmi les</w:t>
      </w:r>
      <w:r w:rsidR="00517E7D" w:rsidRPr="00A2318E">
        <w:rPr>
          <w:rFonts w:eastAsia="Calibri"/>
          <w:lang w:eastAsia="en-US"/>
        </w:rPr>
        <w:t xml:space="preserve"> </w:t>
      </w:r>
      <w:proofErr w:type="spellStart"/>
      <w:r w:rsidR="00517E7D" w:rsidRPr="00A2318E">
        <w:rPr>
          <w:rFonts w:eastAsia="Calibri"/>
          <w:lang w:eastAsia="en-US"/>
        </w:rPr>
        <w:t>nullosomies</w:t>
      </w:r>
      <w:proofErr w:type="spellEnd"/>
      <w:r w:rsidR="00D752A5">
        <w:rPr>
          <w:rFonts w:eastAsia="Calibri"/>
          <w:lang w:eastAsia="en-US"/>
        </w:rPr>
        <w:t xml:space="preserve">, </w:t>
      </w:r>
      <w:r w:rsidR="00244780" w:rsidRPr="00A2318E">
        <w:t>deux gènes</w:t>
      </w:r>
      <w:r w:rsidR="005977AF" w:rsidRPr="00A2318E">
        <w:t xml:space="preserve"> </w:t>
      </w:r>
      <w:r w:rsidR="00244780" w:rsidRPr="00A2318E">
        <w:t>surexprimés dans les testicules</w:t>
      </w:r>
      <w:r w:rsidR="00D752A5">
        <w:t xml:space="preserve"> ont été identifié</w:t>
      </w:r>
      <w:r w:rsidR="008819E1">
        <w:t>s</w:t>
      </w:r>
      <w:r w:rsidR="00244780" w:rsidRPr="00A2318E">
        <w:t xml:space="preserve">, dont </w:t>
      </w:r>
      <w:r w:rsidR="008819E1">
        <w:t xml:space="preserve">un </w:t>
      </w:r>
      <w:r w:rsidR="00D752A5">
        <w:t xml:space="preserve">pour lequel </w:t>
      </w:r>
      <w:r w:rsidR="00244780" w:rsidRPr="00A2318E">
        <w:t xml:space="preserve">l’invalidation chez la souris induit un arrêt de maturation. </w:t>
      </w:r>
      <w:r w:rsidR="00D752A5">
        <w:t>Aucune délétion du gène TEX11 n’a été identifiée.</w:t>
      </w:r>
    </w:p>
    <w:p w:rsidR="008819E1" w:rsidRPr="00A2318E" w:rsidRDefault="008819E1" w:rsidP="00A2318E">
      <w:pPr>
        <w:spacing w:line="276" w:lineRule="auto"/>
        <w:jc w:val="both"/>
        <w:rPr>
          <w:rFonts w:eastAsia="Calibri"/>
          <w:lang w:eastAsia="en-US"/>
        </w:rPr>
      </w:pPr>
    </w:p>
    <w:p w:rsidR="00486FFE" w:rsidRPr="008819E1" w:rsidRDefault="008E750E" w:rsidP="008819E1">
      <w:pPr>
        <w:spacing w:line="276" w:lineRule="auto"/>
        <w:jc w:val="both"/>
        <w:rPr>
          <w:rFonts w:eastAsia="Calibri"/>
          <w:lang w:eastAsia="en-US"/>
        </w:rPr>
      </w:pPr>
      <w:r w:rsidRPr="00A2318E">
        <w:rPr>
          <w:rFonts w:eastAsia="Calibri"/>
          <w:u w:val="single"/>
          <w:lang w:eastAsia="en-US"/>
        </w:rPr>
        <w:t>Di</w:t>
      </w:r>
      <w:r w:rsidR="00A30620" w:rsidRPr="00A2318E">
        <w:rPr>
          <w:rFonts w:eastAsia="Calibri"/>
          <w:u w:val="single"/>
          <w:lang w:eastAsia="en-US"/>
        </w:rPr>
        <w:t>s</w:t>
      </w:r>
      <w:r w:rsidRPr="00A2318E">
        <w:rPr>
          <w:rFonts w:eastAsia="Calibri"/>
          <w:u w:val="single"/>
          <w:lang w:eastAsia="en-US"/>
        </w:rPr>
        <w:t>cussion-Conclusion</w:t>
      </w:r>
      <w:r w:rsidR="00A30620" w:rsidRPr="00A2318E">
        <w:rPr>
          <w:rFonts w:eastAsia="Calibri"/>
          <w:u w:val="single"/>
          <w:lang w:eastAsia="en-US"/>
        </w:rPr>
        <w:t> </w:t>
      </w:r>
      <w:r w:rsidR="00A30620" w:rsidRPr="00A2318E">
        <w:rPr>
          <w:rFonts w:eastAsia="Calibri"/>
          <w:lang w:eastAsia="en-US"/>
        </w:rPr>
        <w:t xml:space="preserve">: </w:t>
      </w:r>
      <w:r w:rsidR="00A2318E" w:rsidRPr="00A2318E">
        <w:rPr>
          <w:rFonts w:eastAsia="Calibri"/>
          <w:lang w:eastAsia="en-US"/>
        </w:rPr>
        <w:t>Les résultats obtenus dans cette étude, en cours de validation, suggère</w:t>
      </w:r>
      <w:r w:rsidR="005D457C">
        <w:rPr>
          <w:rFonts w:eastAsia="Calibri"/>
          <w:lang w:eastAsia="en-US"/>
        </w:rPr>
        <w:t>nt</w:t>
      </w:r>
      <w:r w:rsidR="00A2318E" w:rsidRPr="00A2318E">
        <w:rPr>
          <w:rFonts w:eastAsia="Calibri"/>
          <w:lang w:eastAsia="en-US"/>
        </w:rPr>
        <w:t xml:space="preserve"> un rôle des </w:t>
      </w:r>
      <w:proofErr w:type="spellStart"/>
      <w:r w:rsidR="008819E1">
        <w:rPr>
          <w:rFonts w:eastAsia="Calibri"/>
          <w:lang w:eastAsia="en-US"/>
        </w:rPr>
        <w:t>CNVs</w:t>
      </w:r>
      <w:proofErr w:type="spellEnd"/>
      <w:r w:rsidR="00A2318E" w:rsidRPr="00A2318E">
        <w:rPr>
          <w:rFonts w:eastAsia="Calibri"/>
          <w:lang w:eastAsia="en-US"/>
        </w:rPr>
        <w:t xml:space="preserve"> dans le phénotype d’arrêt de maturation chez les </w:t>
      </w:r>
      <w:r w:rsidR="00691ACB">
        <w:rPr>
          <w:rFonts w:eastAsia="Calibri"/>
          <w:lang w:eastAsia="en-US"/>
        </w:rPr>
        <w:t xml:space="preserve">patients </w:t>
      </w:r>
      <w:r w:rsidR="008819E1">
        <w:rPr>
          <w:rFonts w:eastAsia="Calibri"/>
          <w:lang w:eastAsia="en-US"/>
        </w:rPr>
        <w:t>NOA</w:t>
      </w:r>
      <w:r w:rsidR="00A2318E" w:rsidRPr="00A2318E">
        <w:rPr>
          <w:rFonts w:eastAsia="Calibri"/>
          <w:lang w:eastAsia="en-US"/>
        </w:rPr>
        <w:t xml:space="preserve">. </w:t>
      </w:r>
      <w:r w:rsidR="00A427A1" w:rsidRPr="00A2318E">
        <w:rPr>
          <w:rFonts w:eastAsia="Calibri"/>
          <w:lang w:eastAsia="en-US"/>
        </w:rPr>
        <w:t xml:space="preserve">Les délétions homozygotes ou nullosomies pourraient entrainer la perte de l’expression de gènes candidats responsables de l’arrêt méiotique chez </w:t>
      </w:r>
      <w:r w:rsidR="00D752A5">
        <w:rPr>
          <w:rFonts w:eastAsia="Calibri"/>
          <w:lang w:eastAsia="en-US"/>
        </w:rPr>
        <w:t>certains</w:t>
      </w:r>
      <w:r w:rsidR="00A427A1" w:rsidRPr="00A2318E">
        <w:rPr>
          <w:rFonts w:eastAsia="Calibri"/>
          <w:lang w:eastAsia="en-US"/>
        </w:rPr>
        <w:t xml:space="preserve"> patients</w:t>
      </w:r>
      <w:r w:rsidR="008819E1">
        <w:rPr>
          <w:rFonts w:eastAsia="Calibri"/>
          <w:lang w:eastAsia="en-US"/>
        </w:rPr>
        <w:t xml:space="preserve"> et l</w:t>
      </w:r>
      <w:r w:rsidR="00A427A1" w:rsidRPr="00A2318E">
        <w:rPr>
          <w:rFonts w:eastAsia="Calibri"/>
          <w:lang w:eastAsia="en-US"/>
        </w:rPr>
        <w:t>es délétions hétérozygotes</w:t>
      </w:r>
      <w:r w:rsidR="005D457C">
        <w:rPr>
          <w:rFonts w:eastAsia="Calibri"/>
          <w:lang w:eastAsia="en-US"/>
        </w:rPr>
        <w:t>,</w:t>
      </w:r>
      <w:r w:rsidR="00A427A1" w:rsidRPr="00A2318E">
        <w:rPr>
          <w:rFonts w:eastAsia="Calibri"/>
          <w:lang w:eastAsia="en-US"/>
        </w:rPr>
        <w:t xml:space="preserve"> pourraient être des facteurs de prédisposition à l’apparition d’un blocage méiotique. </w:t>
      </w:r>
      <w:r w:rsidR="00D752A5">
        <w:rPr>
          <w:rFonts w:eastAsia="Calibri"/>
          <w:lang w:eastAsia="en-US"/>
        </w:rPr>
        <w:t xml:space="preserve">A </w:t>
      </w:r>
      <w:r w:rsidR="008819E1">
        <w:rPr>
          <w:rFonts w:eastAsia="Calibri"/>
          <w:lang w:eastAsia="en-US"/>
        </w:rPr>
        <w:t>noter la présence dans notre cohorte de</w:t>
      </w:r>
      <w:r w:rsidR="00D752A5">
        <w:rPr>
          <w:rFonts w:eastAsia="Calibri"/>
          <w:lang w:eastAsia="en-US"/>
        </w:rPr>
        <w:t xml:space="preserve"> </w:t>
      </w:r>
      <w:r w:rsidR="008819E1">
        <w:rPr>
          <w:rFonts w:eastAsia="Calibri"/>
          <w:lang w:eastAsia="en-US"/>
        </w:rPr>
        <w:t>6</w:t>
      </w:r>
      <w:r w:rsidR="00D752A5">
        <w:rPr>
          <w:rFonts w:eastAsia="Calibri"/>
          <w:lang w:eastAsia="en-US"/>
        </w:rPr>
        <w:t xml:space="preserve"> patients sur 20 </w:t>
      </w:r>
      <w:r w:rsidR="008819E1">
        <w:rPr>
          <w:rFonts w:eastAsia="Calibri"/>
          <w:lang w:eastAsia="en-US"/>
        </w:rPr>
        <w:t>consanguins.</w:t>
      </w:r>
    </w:p>
    <w:sectPr w:rsidR="00486FFE" w:rsidRPr="008819E1" w:rsidSect="000C759F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A475D"/>
    <w:multiLevelType w:val="hybridMultilevel"/>
    <w:tmpl w:val="EF96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49"/>
    <w:rsid w:val="000C602F"/>
    <w:rsid w:val="000C759F"/>
    <w:rsid w:val="001879DE"/>
    <w:rsid w:val="00244780"/>
    <w:rsid w:val="002F723C"/>
    <w:rsid w:val="003930EA"/>
    <w:rsid w:val="003A2A49"/>
    <w:rsid w:val="0044410E"/>
    <w:rsid w:val="00450EB9"/>
    <w:rsid w:val="004605C4"/>
    <w:rsid w:val="00460CC9"/>
    <w:rsid w:val="00486FFE"/>
    <w:rsid w:val="00517E7D"/>
    <w:rsid w:val="0056669E"/>
    <w:rsid w:val="00583E58"/>
    <w:rsid w:val="005854CC"/>
    <w:rsid w:val="005977AF"/>
    <w:rsid w:val="005C1D09"/>
    <w:rsid w:val="005D0732"/>
    <w:rsid w:val="005D457C"/>
    <w:rsid w:val="005E6328"/>
    <w:rsid w:val="00691ACB"/>
    <w:rsid w:val="006A5AC8"/>
    <w:rsid w:val="0079184A"/>
    <w:rsid w:val="007F3A94"/>
    <w:rsid w:val="00812454"/>
    <w:rsid w:val="008169B3"/>
    <w:rsid w:val="0082266B"/>
    <w:rsid w:val="008779C1"/>
    <w:rsid w:val="008819E1"/>
    <w:rsid w:val="008D385A"/>
    <w:rsid w:val="008E750E"/>
    <w:rsid w:val="0093310C"/>
    <w:rsid w:val="00996D41"/>
    <w:rsid w:val="009D5141"/>
    <w:rsid w:val="00A2318E"/>
    <w:rsid w:val="00A30620"/>
    <w:rsid w:val="00A4118F"/>
    <w:rsid w:val="00A427A1"/>
    <w:rsid w:val="00A602BE"/>
    <w:rsid w:val="00A62F44"/>
    <w:rsid w:val="00A83B59"/>
    <w:rsid w:val="00AC7CA1"/>
    <w:rsid w:val="00AE052C"/>
    <w:rsid w:val="00B579B6"/>
    <w:rsid w:val="00B96CEA"/>
    <w:rsid w:val="00BC7479"/>
    <w:rsid w:val="00BF3E9A"/>
    <w:rsid w:val="00C073E2"/>
    <w:rsid w:val="00C273B7"/>
    <w:rsid w:val="00C46C99"/>
    <w:rsid w:val="00C71925"/>
    <w:rsid w:val="00CA707B"/>
    <w:rsid w:val="00CD5789"/>
    <w:rsid w:val="00D54CCD"/>
    <w:rsid w:val="00D752A5"/>
    <w:rsid w:val="00E30196"/>
    <w:rsid w:val="00EA36C6"/>
    <w:rsid w:val="00F04A00"/>
    <w:rsid w:val="00F41A1A"/>
    <w:rsid w:val="00F4369E"/>
    <w:rsid w:val="00F4444D"/>
    <w:rsid w:val="00F929DC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8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8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 du L’Unité</vt:lpstr>
      <vt:lpstr>Nom du L’Unité</vt:lpstr>
    </vt:vector>
  </TitlesOfParts>
  <Company>CEA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L’Unité</dc:title>
  <dc:creator>FAR</dc:creator>
  <cp:lastModifiedBy>apaglino</cp:lastModifiedBy>
  <cp:revision>2</cp:revision>
  <cp:lastPrinted>2018-06-08T17:55:00Z</cp:lastPrinted>
  <dcterms:created xsi:type="dcterms:W3CDTF">2018-07-27T13:04:00Z</dcterms:created>
  <dcterms:modified xsi:type="dcterms:W3CDTF">2018-07-27T13:04:00Z</dcterms:modified>
</cp:coreProperties>
</file>