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019E8" w14:textId="77777777" w:rsidR="00BF110B" w:rsidRPr="00156D1C" w:rsidRDefault="00BF110B" w:rsidP="003F5F0A">
      <w:pPr>
        <w:pStyle w:val="Titre1"/>
        <w:jc w:val="center"/>
        <w:rPr>
          <w:rFonts w:asciiTheme="majorHAnsi" w:hAnsiTheme="majorHAnsi"/>
          <w:color w:val="3399FF"/>
          <w:sz w:val="36"/>
        </w:rPr>
      </w:pPr>
      <w:bookmarkStart w:id="0" w:name="_GoBack"/>
      <w:bookmarkEnd w:id="0"/>
      <w:r w:rsidRPr="00156D1C">
        <w:rPr>
          <w:rFonts w:asciiTheme="majorHAnsi" w:hAnsiTheme="majorHAnsi"/>
          <w:sz w:val="36"/>
        </w:rPr>
        <w:t>Compte rendu final du PROJET CTPS  </w:t>
      </w:r>
      <w:r w:rsidRPr="00156D1C">
        <w:rPr>
          <w:rFonts w:asciiTheme="majorHAnsi" w:hAnsiTheme="majorHAnsi"/>
          <w:color w:val="0000FF"/>
          <w:sz w:val="36"/>
        </w:rPr>
        <w:t>TomSec</w:t>
      </w:r>
    </w:p>
    <w:p w14:paraId="2E0E90A8" w14:textId="77777777" w:rsidR="00BF110B" w:rsidRPr="00156D1C" w:rsidRDefault="00BF110B" w:rsidP="003F5F0A">
      <w:pPr>
        <w:pStyle w:val="Titre1"/>
        <w:jc w:val="center"/>
        <w:rPr>
          <w:rFonts w:asciiTheme="majorHAnsi" w:hAnsiTheme="majorHAnsi"/>
          <w:sz w:val="36"/>
        </w:rPr>
      </w:pPr>
      <w:r w:rsidRPr="00156D1C">
        <w:rPr>
          <w:rFonts w:asciiTheme="majorHAnsi" w:hAnsiTheme="majorHAnsi"/>
          <w:color w:val="3399FF"/>
          <w:sz w:val="36"/>
        </w:rPr>
        <w:t>Conception d’idéotypes culturaux adaptés à la contrainte hydrique et améliorés sur des critères de qualité gustative et nutritionnelle – Cas d’étude: la tomate</w:t>
      </w:r>
    </w:p>
    <w:p w14:paraId="7FD0396B" w14:textId="77777777" w:rsidR="00BF110B" w:rsidRPr="00156D1C" w:rsidRDefault="00BF110B">
      <w:pPr>
        <w:pStyle w:val="Corpsdetexte"/>
        <w:ind w:left="851" w:hanging="567"/>
        <w:jc w:val="both"/>
        <w:rPr>
          <w:rFonts w:asciiTheme="majorHAnsi" w:hAnsiTheme="majorHAnsi"/>
          <w:sz w:val="22"/>
        </w:rPr>
      </w:pPr>
      <w:r w:rsidRPr="00156D1C">
        <w:rPr>
          <w:rFonts w:asciiTheme="majorHAnsi" w:hAnsiTheme="majorHAnsi"/>
        </w:rPr>
        <w:t> </w:t>
      </w:r>
    </w:p>
    <w:p w14:paraId="7237CD82" w14:textId="77777777" w:rsidR="00BF110B" w:rsidRPr="00156D1C" w:rsidRDefault="00BF110B">
      <w:pPr>
        <w:pStyle w:val="Corpsdetexte"/>
        <w:ind w:left="851" w:hanging="567"/>
        <w:jc w:val="both"/>
        <w:rPr>
          <w:rFonts w:asciiTheme="majorHAnsi" w:hAnsiTheme="majorHAnsi"/>
          <w:color w:val="3399FF"/>
        </w:rPr>
      </w:pPr>
      <w:r w:rsidRPr="00156D1C">
        <w:rPr>
          <w:rFonts w:asciiTheme="majorHAnsi" w:hAnsiTheme="majorHAnsi"/>
          <w:sz w:val="22"/>
        </w:rPr>
        <w:t xml:space="preserve">En réponse à l'appel à proposition 2012 du CTPS </w:t>
      </w:r>
    </w:p>
    <w:p w14:paraId="61D3D602" w14:textId="77777777" w:rsidR="00BF110B" w:rsidRPr="00156D1C" w:rsidRDefault="00BF110B">
      <w:pPr>
        <w:pStyle w:val="Corpsdetexte"/>
        <w:jc w:val="both"/>
        <w:rPr>
          <w:rFonts w:asciiTheme="majorHAnsi" w:hAnsiTheme="majorHAnsi"/>
          <w:color w:val="3399FF"/>
        </w:rPr>
      </w:pPr>
      <w:r w:rsidRPr="00156D1C">
        <w:rPr>
          <w:rFonts w:asciiTheme="majorHAnsi" w:hAnsiTheme="majorHAnsi"/>
          <w:color w:val="3399FF"/>
        </w:rPr>
        <w:t> </w:t>
      </w:r>
    </w:p>
    <w:p w14:paraId="16C5E638" w14:textId="77777777" w:rsidR="00BF110B" w:rsidRPr="00156D1C" w:rsidRDefault="00BF110B">
      <w:pPr>
        <w:pStyle w:val="Corpsdetexte"/>
        <w:jc w:val="both"/>
        <w:rPr>
          <w:rFonts w:asciiTheme="majorHAnsi" w:hAnsiTheme="majorHAnsi"/>
        </w:rPr>
      </w:pPr>
      <w:r w:rsidRPr="00156D1C">
        <w:rPr>
          <w:rFonts w:asciiTheme="majorHAnsi" w:hAnsiTheme="majorHAnsi"/>
          <w:color w:val="3399FF"/>
        </w:rPr>
        <w:t> </w:t>
      </w:r>
    </w:p>
    <w:p w14:paraId="411D9D81" w14:textId="77777777" w:rsidR="00BF110B" w:rsidRPr="00156D1C" w:rsidRDefault="00BF110B">
      <w:pPr>
        <w:pStyle w:val="Titre2"/>
        <w:rPr>
          <w:rFonts w:asciiTheme="majorHAnsi" w:hAnsiTheme="majorHAnsi"/>
          <w:sz w:val="22"/>
        </w:rPr>
      </w:pPr>
      <w:r w:rsidRPr="00156D1C">
        <w:rPr>
          <w:rFonts w:asciiTheme="majorHAnsi" w:hAnsiTheme="majorHAnsi"/>
        </w:rPr>
        <w:t xml:space="preserve">Partenaires : </w:t>
      </w:r>
    </w:p>
    <w:p w14:paraId="28302951" w14:textId="77777777" w:rsidR="00BF110B" w:rsidRPr="002B4367" w:rsidRDefault="00BF110B" w:rsidP="002B4367">
      <w:pPr>
        <w:pStyle w:val="Corpsdetexte"/>
        <w:spacing w:after="0"/>
        <w:ind w:left="568" w:hanging="284"/>
        <w:jc w:val="both"/>
        <w:rPr>
          <w:rFonts w:asciiTheme="majorHAnsi" w:hAnsiTheme="majorHAnsi"/>
          <w:sz w:val="22"/>
          <w:szCs w:val="22"/>
        </w:rPr>
      </w:pPr>
      <w:r w:rsidRPr="002B4367">
        <w:rPr>
          <w:rFonts w:asciiTheme="majorHAnsi" w:hAnsiTheme="majorHAnsi"/>
          <w:sz w:val="22"/>
          <w:szCs w:val="22"/>
        </w:rPr>
        <w:t xml:space="preserve">1.   </w:t>
      </w:r>
      <w:r w:rsidRPr="002B4367">
        <w:rPr>
          <w:rFonts w:asciiTheme="majorHAnsi" w:hAnsiTheme="majorHAnsi"/>
          <w:b/>
          <w:sz w:val="22"/>
          <w:szCs w:val="22"/>
        </w:rPr>
        <w:t xml:space="preserve">INRA UR </w:t>
      </w:r>
      <w:r w:rsidRPr="002B4367">
        <w:rPr>
          <w:rFonts w:asciiTheme="majorHAnsi" w:hAnsiTheme="majorHAnsi"/>
          <w:sz w:val="22"/>
          <w:szCs w:val="22"/>
        </w:rPr>
        <w:t xml:space="preserve">1052 </w:t>
      </w:r>
      <w:r w:rsidRPr="002B4367">
        <w:rPr>
          <w:rFonts w:asciiTheme="majorHAnsi" w:hAnsiTheme="majorHAnsi"/>
          <w:b/>
          <w:sz w:val="22"/>
          <w:szCs w:val="22"/>
        </w:rPr>
        <w:t>GAFL</w:t>
      </w:r>
      <w:r w:rsidRPr="002B4367">
        <w:rPr>
          <w:rFonts w:asciiTheme="majorHAnsi" w:hAnsiTheme="majorHAnsi"/>
          <w:sz w:val="22"/>
          <w:szCs w:val="22"/>
        </w:rPr>
        <w:t xml:space="preserve"> Domaine St Maurice - Allée des Chênes</w:t>
      </w:r>
      <w:r w:rsidR="002B4367">
        <w:rPr>
          <w:rFonts w:asciiTheme="majorHAnsi" w:hAnsiTheme="majorHAnsi"/>
          <w:sz w:val="22"/>
          <w:szCs w:val="22"/>
        </w:rPr>
        <w:t xml:space="preserve"> - </w:t>
      </w:r>
      <w:r w:rsidRPr="002B4367">
        <w:rPr>
          <w:rFonts w:asciiTheme="majorHAnsi" w:hAnsiTheme="majorHAnsi"/>
          <w:sz w:val="22"/>
          <w:szCs w:val="22"/>
        </w:rPr>
        <w:br/>
        <w:t>BP 94 - 84143 Montfavet cedex</w:t>
      </w:r>
    </w:p>
    <w:p w14:paraId="5AADDEE4" w14:textId="77777777" w:rsidR="00BF110B" w:rsidRPr="002B4367" w:rsidRDefault="00BF110B" w:rsidP="002B4367">
      <w:pPr>
        <w:pStyle w:val="Corpsdetexte"/>
        <w:spacing w:after="0"/>
        <w:ind w:left="568"/>
        <w:jc w:val="both"/>
        <w:rPr>
          <w:rFonts w:asciiTheme="majorHAnsi" w:hAnsiTheme="majorHAnsi"/>
          <w:sz w:val="22"/>
          <w:szCs w:val="22"/>
        </w:rPr>
      </w:pPr>
      <w:r w:rsidRPr="002B4367">
        <w:rPr>
          <w:rFonts w:asciiTheme="majorHAnsi" w:hAnsiTheme="majorHAnsi"/>
          <w:sz w:val="22"/>
          <w:szCs w:val="22"/>
        </w:rPr>
        <w:t>Mathilde CAUSSE    Tel : 0432722</w:t>
      </w:r>
      <w:r w:rsidR="002B4367">
        <w:rPr>
          <w:rFonts w:asciiTheme="majorHAnsi" w:hAnsiTheme="majorHAnsi"/>
          <w:sz w:val="22"/>
          <w:szCs w:val="22"/>
        </w:rPr>
        <w:t>803</w:t>
      </w:r>
      <w:r w:rsidRPr="002B4367">
        <w:rPr>
          <w:rFonts w:asciiTheme="majorHAnsi" w:hAnsiTheme="majorHAnsi"/>
          <w:sz w:val="22"/>
          <w:szCs w:val="22"/>
        </w:rPr>
        <w:t xml:space="preserve"> – mail: mathilde.causse@avignon.inra.fr</w:t>
      </w:r>
    </w:p>
    <w:p w14:paraId="5B4CC231" w14:textId="77777777" w:rsidR="00BF110B" w:rsidRPr="002B4367" w:rsidRDefault="00BF110B" w:rsidP="002B4367">
      <w:pPr>
        <w:pStyle w:val="Corpsdetexte"/>
        <w:spacing w:after="0"/>
        <w:ind w:left="568" w:hanging="284"/>
        <w:jc w:val="both"/>
        <w:rPr>
          <w:rFonts w:asciiTheme="majorHAnsi" w:hAnsiTheme="majorHAnsi"/>
          <w:sz w:val="22"/>
          <w:szCs w:val="22"/>
        </w:rPr>
      </w:pPr>
      <w:r w:rsidRPr="002B4367">
        <w:rPr>
          <w:rFonts w:asciiTheme="majorHAnsi" w:hAnsiTheme="majorHAnsi"/>
          <w:sz w:val="22"/>
          <w:szCs w:val="22"/>
        </w:rPr>
        <w:t xml:space="preserve">2.   </w:t>
      </w:r>
      <w:r w:rsidRPr="002B4367">
        <w:rPr>
          <w:rFonts w:asciiTheme="majorHAnsi" w:hAnsiTheme="majorHAnsi"/>
          <w:b/>
          <w:sz w:val="22"/>
          <w:szCs w:val="22"/>
        </w:rPr>
        <w:t>INRA UR 1115 PSH</w:t>
      </w:r>
      <w:r w:rsidRPr="002B4367">
        <w:rPr>
          <w:rFonts w:asciiTheme="majorHAnsi" w:hAnsiTheme="majorHAnsi"/>
          <w:sz w:val="22"/>
          <w:szCs w:val="22"/>
        </w:rPr>
        <w:t xml:space="preserve"> Site Agroparc Domaine Saint Paul 84914 Avignon Cedex 9</w:t>
      </w:r>
    </w:p>
    <w:p w14:paraId="2AC2CB30" w14:textId="77777777" w:rsidR="00BF110B" w:rsidRPr="002B4367" w:rsidRDefault="00BF110B" w:rsidP="002B4367">
      <w:pPr>
        <w:pStyle w:val="Corpsdetexte"/>
        <w:spacing w:after="0"/>
        <w:ind w:left="568"/>
        <w:jc w:val="both"/>
        <w:rPr>
          <w:rFonts w:asciiTheme="majorHAnsi" w:hAnsiTheme="majorHAnsi"/>
          <w:sz w:val="22"/>
          <w:szCs w:val="22"/>
        </w:rPr>
      </w:pPr>
      <w:r w:rsidRPr="002B4367">
        <w:rPr>
          <w:rFonts w:asciiTheme="majorHAnsi" w:hAnsiTheme="majorHAnsi"/>
          <w:sz w:val="22"/>
          <w:szCs w:val="22"/>
        </w:rPr>
        <w:t xml:space="preserve">Nadia BERTIN    Tel: 0432722324 – mail: </w:t>
      </w:r>
      <w:hyperlink r:id="rId6" w:history="1">
        <w:r w:rsidRPr="002B4367">
          <w:rPr>
            <w:rStyle w:val="Lienhypertexte"/>
            <w:rFonts w:asciiTheme="majorHAnsi" w:hAnsiTheme="majorHAnsi"/>
            <w:sz w:val="22"/>
            <w:szCs w:val="22"/>
          </w:rPr>
          <w:t>nadia.bertin@avignon.inra.fr</w:t>
        </w:r>
      </w:hyperlink>
    </w:p>
    <w:p w14:paraId="0DF9ADCF" w14:textId="77777777" w:rsidR="00BF110B" w:rsidRPr="002B4367" w:rsidRDefault="00BF110B" w:rsidP="002B4367">
      <w:pPr>
        <w:pStyle w:val="Corpsdetexte"/>
        <w:spacing w:after="0"/>
        <w:ind w:left="644" w:hanging="360"/>
        <w:jc w:val="both"/>
        <w:rPr>
          <w:rFonts w:asciiTheme="majorHAnsi" w:hAnsiTheme="majorHAnsi"/>
          <w:sz w:val="22"/>
          <w:szCs w:val="22"/>
        </w:rPr>
      </w:pPr>
      <w:r w:rsidRPr="002B4367">
        <w:rPr>
          <w:rFonts w:asciiTheme="majorHAnsi" w:hAnsiTheme="majorHAnsi"/>
          <w:sz w:val="22"/>
          <w:szCs w:val="22"/>
        </w:rPr>
        <w:t xml:space="preserve">3.     </w:t>
      </w:r>
      <w:r w:rsidRPr="002B4367">
        <w:rPr>
          <w:rFonts w:asciiTheme="majorHAnsi" w:hAnsiTheme="majorHAnsi"/>
          <w:b/>
          <w:sz w:val="22"/>
          <w:szCs w:val="22"/>
        </w:rPr>
        <w:t>Vilmorin &amp; Cie</w:t>
      </w:r>
      <w:r w:rsidRPr="002B4367">
        <w:rPr>
          <w:rFonts w:asciiTheme="majorHAnsi" w:hAnsiTheme="majorHAnsi"/>
          <w:sz w:val="22"/>
          <w:szCs w:val="22"/>
        </w:rPr>
        <w:t xml:space="preserve">, 4, Quai de la Mégisserie 75001 PARIS (PI : Pierre Amouroux ; </w:t>
      </w:r>
    </w:p>
    <w:p w14:paraId="3E8D889C" w14:textId="77777777" w:rsidR="00BF110B" w:rsidRPr="002B4367" w:rsidRDefault="00BF110B" w:rsidP="002B4367">
      <w:pPr>
        <w:pStyle w:val="Corpsdetexte"/>
        <w:spacing w:after="0"/>
        <w:ind w:left="284" w:firstLine="284"/>
        <w:jc w:val="both"/>
        <w:rPr>
          <w:rFonts w:asciiTheme="majorHAnsi" w:hAnsiTheme="majorHAnsi"/>
          <w:sz w:val="22"/>
          <w:szCs w:val="22"/>
        </w:rPr>
      </w:pPr>
      <w:r w:rsidRPr="002B4367">
        <w:rPr>
          <w:rFonts w:asciiTheme="majorHAnsi" w:hAnsiTheme="majorHAnsi"/>
          <w:sz w:val="22"/>
          <w:szCs w:val="22"/>
        </w:rPr>
        <w:t>mail : pierre.amouroux@limagrain.com)</w:t>
      </w:r>
    </w:p>
    <w:p w14:paraId="56BE9B2B" w14:textId="77777777" w:rsidR="00BF110B" w:rsidRPr="002B4367" w:rsidRDefault="00BF110B" w:rsidP="002B4367">
      <w:pPr>
        <w:pStyle w:val="Corpsdetexte"/>
        <w:spacing w:after="0"/>
        <w:ind w:left="644" w:hanging="360"/>
        <w:jc w:val="both"/>
        <w:rPr>
          <w:rFonts w:asciiTheme="majorHAnsi" w:hAnsiTheme="majorHAnsi"/>
          <w:sz w:val="22"/>
          <w:szCs w:val="22"/>
        </w:rPr>
      </w:pPr>
      <w:r w:rsidRPr="002B4367">
        <w:rPr>
          <w:rFonts w:asciiTheme="majorHAnsi" w:hAnsiTheme="majorHAnsi"/>
          <w:sz w:val="22"/>
          <w:szCs w:val="22"/>
        </w:rPr>
        <w:t xml:space="preserve">4.     </w:t>
      </w:r>
      <w:r w:rsidRPr="002B4367">
        <w:rPr>
          <w:rFonts w:asciiTheme="majorHAnsi" w:hAnsiTheme="majorHAnsi"/>
          <w:b/>
          <w:sz w:val="22"/>
          <w:szCs w:val="22"/>
        </w:rPr>
        <w:t>Gautier Semences</w:t>
      </w:r>
      <w:r w:rsidRPr="002B4367">
        <w:rPr>
          <w:rFonts w:asciiTheme="majorHAnsi" w:hAnsiTheme="majorHAnsi"/>
          <w:sz w:val="22"/>
          <w:szCs w:val="22"/>
        </w:rPr>
        <w:t xml:space="preserve">, Route d'Avignon, FR - 13630 Eyragues (PI : F Moquet ; </w:t>
      </w:r>
    </w:p>
    <w:p w14:paraId="695399EF" w14:textId="77777777" w:rsidR="00BF110B" w:rsidRPr="002B4367" w:rsidRDefault="00BF110B" w:rsidP="002B4367">
      <w:pPr>
        <w:pStyle w:val="Corpsdetexte"/>
        <w:spacing w:after="0"/>
        <w:ind w:left="284" w:firstLine="360"/>
        <w:jc w:val="both"/>
        <w:rPr>
          <w:rFonts w:asciiTheme="majorHAnsi" w:hAnsiTheme="majorHAnsi"/>
          <w:color w:val="3399FF"/>
          <w:sz w:val="22"/>
          <w:szCs w:val="22"/>
        </w:rPr>
      </w:pPr>
      <w:r w:rsidRPr="002B4367">
        <w:rPr>
          <w:rFonts w:asciiTheme="majorHAnsi" w:hAnsiTheme="majorHAnsi"/>
          <w:sz w:val="22"/>
          <w:szCs w:val="22"/>
        </w:rPr>
        <w:t>mail :  frederic.moquet@gautiersemences.com)</w:t>
      </w:r>
    </w:p>
    <w:p w14:paraId="47455372" w14:textId="77777777" w:rsidR="00BF110B" w:rsidRPr="00156D1C" w:rsidRDefault="00BF110B">
      <w:pPr>
        <w:pStyle w:val="Corpsdetexte"/>
        <w:jc w:val="both"/>
        <w:rPr>
          <w:rFonts w:asciiTheme="majorHAnsi" w:hAnsiTheme="majorHAnsi"/>
          <w:color w:val="3399FF"/>
        </w:rPr>
      </w:pPr>
      <w:r w:rsidRPr="00156D1C">
        <w:rPr>
          <w:rFonts w:asciiTheme="majorHAnsi" w:hAnsiTheme="majorHAnsi"/>
          <w:color w:val="3399FF"/>
        </w:rPr>
        <w:t> </w:t>
      </w:r>
    </w:p>
    <w:p w14:paraId="499F0C4A" w14:textId="77777777" w:rsidR="00BF110B" w:rsidRPr="00156D1C" w:rsidRDefault="00BF110B">
      <w:pPr>
        <w:pStyle w:val="Corpsdetexte"/>
        <w:jc w:val="both"/>
        <w:rPr>
          <w:rFonts w:asciiTheme="majorHAnsi" w:hAnsiTheme="majorHAnsi"/>
        </w:rPr>
      </w:pPr>
      <w:r w:rsidRPr="00156D1C">
        <w:rPr>
          <w:rFonts w:asciiTheme="majorHAnsi" w:hAnsiTheme="majorHAnsi"/>
          <w:color w:val="3399FF"/>
        </w:rPr>
        <w:t> </w:t>
      </w:r>
    </w:p>
    <w:p w14:paraId="75A73E7C" w14:textId="77777777" w:rsidR="00BF110B" w:rsidRPr="00156D1C" w:rsidRDefault="00BF110B">
      <w:pPr>
        <w:pStyle w:val="Titre2"/>
        <w:rPr>
          <w:rFonts w:asciiTheme="majorHAnsi" w:hAnsiTheme="majorHAnsi"/>
        </w:rPr>
      </w:pPr>
      <w:r w:rsidRPr="00156D1C">
        <w:rPr>
          <w:rFonts w:asciiTheme="majorHAnsi" w:hAnsiTheme="majorHAnsi"/>
        </w:rPr>
        <w:t>Introduction : Programme envisagé</w:t>
      </w:r>
    </w:p>
    <w:p w14:paraId="2C14FF74" w14:textId="77777777" w:rsidR="00BF110B" w:rsidRPr="00156D1C" w:rsidRDefault="00BF110B">
      <w:pPr>
        <w:pStyle w:val="Corpsdetexte"/>
        <w:spacing w:line="276" w:lineRule="auto"/>
        <w:jc w:val="both"/>
        <w:rPr>
          <w:rFonts w:asciiTheme="majorHAnsi" w:hAnsiTheme="majorHAnsi"/>
          <w:sz w:val="22"/>
        </w:rPr>
      </w:pPr>
      <w:r w:rsidRPr="00156D1C">
        <w:rPr>
          <w:rFonts w:asciiTheme="majorHAnsi" w:hAnsiTheme="majorHAnsi"/>
        </w:rPr>
        <w:t> </w:t>
      </w:r>
    </w:p>
    <w:p w14:paraId="3C98C7E7" w14:textId="77777777" w:rsidR="00BF110B" w:rsidRPr="00156D1C" w:rsidRDefault="00BF110B">
      <w:pPr>
        <w:pStyle w:val="Corpsdetexte"/>
        <w:ind w:right="140"/>
        <w:jc w:val="both"/>
        <w:rPr>
          <w:rFonts w:asciiTheme="majorHAnsi" w:hAnsiTheme="majorHAnsi"/>
        </w:rPr>
      </w:pPr>
      <w:r w:rsidRPr="00156D1C">
        <w:rPr>
          <w:rFonts w:asciiTheme="majorHAnsi" w:hAnsiTheme="majorHAnsi"/>
          <w:sz w:val="22"/>
        </w:rPr>
        <w:t xml:space="preserve">Le projet ambitionnait de répondre à la demande en terme de durabilité des modes de production et d’amélioration de la qualité gustative et nutritionnelle des fruits en développant et en utilisant des outils innovants de conception d’idéotypes culturaux. Ces outils combinent des </w:t>
      </w:r>
      <w:r w:rsidRPr="00156D1C">
        <w:rPr>
          <w:rFonts w:asciiTheme="majorHAnsi" w:hAnsiTheme="majorHAnsi"/>
          <w:b/>
          <w:sz w:val="22"/>
        </w:rPr>
        <w:t xml:space="preserve">modèles mécanistes de prédiction </w:t>
      </w:r>
      <w:r w:rsidRPr="00156D1C">
        <w:rPr>
          <w:rFonts w:asciiTheme="majorHAnsi" w:hAnsiTheme="majorHAnsi"/>
          <w:sz w:val="22"/>
        </w:rPr>
        <w:t>de la croissance et du développement de la plante et de la qualité du fruit en fonction de son environnement et des pratiques culturales (Génard et al. 2007</w:t>
      </w:r>
      <w:r w:rsidR="00761CB3">
        <w:rPr>
          <w:rFonts w:asciiTheme="majorHAnsi" w:hAnsiTheme="majorHAnsi"/>
          <w:sz w:val="22"/>
        </w:rPr>
        <w:t>,</w:t>
      </w:r>
      <w:r w:rsidR="00761CB3" w:rsidRPr="00761CB3">
        <w:t xml:space="preserve"> </w:t>
      </w:r>
      <w:r w:rsidR="00761CB3" w:rsidRPr="00761CB3">
        <w:rPr>
          <w:rFonts w:asciiTheme="majorHAnsi" w:hAnsiTheme="majorHAnsi"/>
          <w:sz w:val="22"/>
        </w:rPr>
        <w:t>Baldazzi et al. 2013</w:t>
      </w:r>
      <w:r w:rsidRPr="00156D1C">
        <w:rPr>
          <w:rFonts w:asciiTheme="majorHAnsi" w:hAnsiTheme="majorHAnsi"/>
          <w:sz w:val="22"/>
        </w:rPr>
        <w:t xml:space="preserve">) et des </w:t>
      </w:r>
      <w:r w:rsidRPr="00156D1C">
        <w:rPr>
          <w:rFonts w:asciiTheme="majorHAnsi" w:hAnsiTheme="majorHAnsi"/>
          <w:b/>
          <w:sz w:val="22"/>
        </w:rPr>
        <w:t>algorithmes évolutionnaires</w:t>
      </w:r>
      <w:r w:rsidRPr="00156D1C">
        <w:rPr>
          <w:rFonts w:asciiTheme="majorHAnsi" w:hAnsiTheme="majorHAnsi"/>
          <w:sz w:val="22"/>
        </w:rPr>
        <w:t xml:space="preserve"> d’optimisation multicritères (Ould-Sidi, Lescourret 2011). Ce travail repose sur des connaissances moléculaires et physiologiques déjà acquises ou en cours d’acquisition concernant la réponse de la plante et du fruit à la contrainte hydrique et exploite la </w:t>
      </w:r>
      <w:r w:rsidRPr="00156D1C">
        <w:rPr>
          <w:rFonts w:asciiTheme="majorHAnsi" w:hAnsiTheme="majorHAnsi"/>
          <w:b/>
          <w:sz w:val="22"/>
        </w:rPr>
        <w:t>variabilité génétique</w:t>
      </w:r>
      <w:r w:rsidRPr="00156D1C">
        <w:rPr>
          <w:rFonts w:asciiTheme="majorHAnsi" w:hAnsiTheme="majorHAnsi"/>
          <w:sz w:val="22"/>
        </w:rPr>
        <w:t xml:space="preserve"> au sein d’une population de RIL et d’une collection variétale détenues par le partenaire INRA du projet, pour identifier des QTL de tolérance au stress hydrique et étudier leur colocalisation avec les gènes potentiellement impliqués. Pour cela des </w:t>
      </w:r>
      <w:r w:rsidRPr="00156D1C">
        <w:rPr>
          <w:rFonts w:asciiTheme="majorHAnsi" w:hAnsiTheme="majorHAnsi"/>
          <w:b/>
          <w:sz w:val="22"/>
        </w:rPr>
        <w:t>expérimentations</w:t>
      </w:r>
      <w:r w:rsidRPr="00156D1C">
        <w:rPr>
          <w:rFonts w:asciiTheme="majorHAnsi" w:hAnsiTheme="majorHAnsi"/>
          <w:sz w:val="22"/>
        </w:rPr>
        <w:t xml:space="preserve"> spécifiques au projet ont été conduites sur ces deux types de matériel génétique en deux lieux différents (Avignon et Agadir). Le projet combine donc une approche de modélisation, d’analyse QTL et de génétique d’association qui permet non seulement d’identifier des QTLs/gènes de tolérance au stress mais aussi de proposer des idéotypes variétaux adaptés au stress hydrique et produisant des fruits de qualité.</w:t>
      </w:r>
    </w:p>
    <w:p w14:paraId="4C39BCB0" w14:textId="77777777" w:rsidR="00BF110B" w:rsidRPr="00156D1C" w:rsidRDefault="00BF110B">
      <w:pPr>
        <w:pStyle w:val="Corpsdetexte"/>
        <w:jc w:val="both"/>
        <w:rPr>
          <w:rFonts w:asciiTheme="majorHAnsi" w:hAnsiTheme="majorHAnsi"/>
          <w:sz w:val="22"/>
        </w:rPr>
      </w:pPr>
      <w:r w:rsidRPr="00156D1C">
        <w:rPr>
          <w:rFonts w:asciiTheme="majorHAnsi" w:hAnsiTheme="majorHAnsi"/>
        </w:rPr>
        <w:t> </w:t>
      </w:r>
    </w:p>
    <w:p w14:paraId="5E08889F" w14:textId="77777777" w:rsidR="00BF110B" w:rsidRPr="00156D1C" w:rsidRDefault="00BF110B" w:rsidP="003F5F0A">
      <w:pPr>
        <w:pStyle w:val="Corpsdetexte"/>
        <w:ind w:right="140"/>
        <w:jc w:val="both"/>
        <w:rPr>
          <w:rFonts w:asciiTheme="majorHAnsi" w:hAnsiTheme="majorHAnsi"/>
          <w:shd w:val="clear" w:color="auto" w:fill="FFFF00"/>
        </w:rPr>
      </w:pPr>
      <w:r w:rsidRPr="00156D1C">
        <w:rPr>
          <w:rFonts w:asciiTheme="majorHAnsi" w:hAnsiTheme="majorHAnsi"/>
          <w:sz w:val="22"/>
        </w:rPr>
        <w:t xml:space="preserve">L’étude porte sur la </w:t>
      </w:r>
      <w:r w:rsidRPr="00156D1C">
        <w:rPr>
          <w:rFonts w:asciiTheme="majorHAnsi" w:hAnsiTheme="majorHAnsi"/>
          <w:b/>
          <w:sz w:val="22"/>
        </w:rPr>
        <w:t xml:space="preserve">tomate </w:t>
      </w:r>
      <w:r w:rsidRPr="00156D1C">
        <w:rPr>
          <w:rFonts w:asciiTheme="majorHAnsi" w:hAnsiTheme="majorHAnsi"/>
          <w:i/>
          <w:sz w:val="22"/>
        </w:rPr>
        <w:t>(Solanum lycopersicum)</w:t>
      </w:r>
      <w:r w:rsidRPr="00156D1C">
        <w:rPr>
          <w:rFonts w:asciiTheme="majorHAnsi" w:hAnsiTheme="majorHAnsi"/>
          <w:sz w:val="22"/>
        </w:rPr>
        <w:t xml:space="preserve"> qui est une plante modèle en génétique, physiologie et écophysiologie  et qui bénéficie d’importantes ressources génétiques et d’un génome entièrement séquencé (TGC, 2012) pouvant favoriser l’exploitation rapide des résultats obtenus. D’autre part la tomate </w:t>
      </w:r>
      <w:r w:rsidRPr="00156D1C">
        <w:rPr>
          <w:rFonts w:asciiTheme="majorHAnsi" w:hAnsiTheme="majorHAnsi"/>
          <w:sz w:val="22"/>
        </w:rPr>
        <w:lastRenderedPageBreak/>
        <w:t>est économiquement importante puisqu’elle est le second légume consommé dans le monde et en particulier en France et dans tout le bassin méditerranéen. Sa production de semences est un domaine très dynamique, avec plusieurs dizaines de nouvelles variétés inscrites chaque année et un turnover rapide des variétés. C’est un des principaux produits pour les  sélectionneurs d’espèces potagères, qui s’intéressent à l’ensemble du bassin de production, incluant les pays méditerranéens où la ressource en eau devient un facteur limitant.</w:t>
      </w:r>
    </w:p>
    <w:p w14:paraId="086E300E" w14:textId="77777777" w:rsidR="00BF110B" w:rsidRPr="00156D1C" w:rsidRDefault="00BF110B">
      <w:pPr>
        <w:pStyle w:val="Corpsdetexte"/>
        <w:spacing w:after="200"/>
        <w:ind w:right="140"/>
        <w:jc w:val="both"/>
        <w:rPr>
          <w:rFonts w:asciiTheme="majorHAnsi" w:hAnsiTheme="majorHAnsi"/>
        </w:rPr>
      </w:pPr>
      <w:r w:rsidRPr="00156D1C">
        <w:rPr>
          <w:rFonts w:asciiTheme="majorHAnsi" w:hAnsiTheme="majorHAnsi"/>
          <w:sz w:val="22"/>
        </w:rPr>
        <w:t>Le projet se structure autour de 4 actions complémentaires (</w:t>
      </w:r>
      <w:r w:rsidR="0002616E">
        <w:rPr>
          <w:rFonts w:asciiTheme="majorHAnsi" w:hAnsiTheme="majorHAnsi"/>
          <w:sz w:val="22"/>
        </w:rPr>
        <w:t>Tableau</w:t>
      </w:r>
      <w:r w:rsidRPr="00156D1C">
        <w:rPr>
          <w:rFonts w:asciiTheme="majorHAnsi" w:hAnsiTheme="majorHAnsi"/>
          <w:sz w:val="22"/>
        </w:rPr>
        <w:t xml:space="preserve"> 1). </w:t>
      </w:r>
    </w:p>
    <w:p w14:paraId="063638F8" w14:textId="77777777" w:rsidR="00BF110B" w:rsidRPr="00156D1C" w:rsidRDefault="00C71A8D">
      <w:pPr>
        <w:pStyle w:val="Corpsdetexte"/>
        <w:spacing w:after="200"/>
        <w:jc w:val="center"/>
        <w:rPr>
          <w:rFonts w:asciiTheme="majorHAnsi" w:hAnsiTheme="majorHAnsi"/>
          <w:i/>
          <w:sz w:val="22"/>
          <w:u w:val="single"/>
        </w:rPr>
      </w:pPr>
      <w:r w:rsidRPr="00156D1C">
        <w:rPr>
          <w:rFonts w:asciiTheme="majorHAnsi" w:hAnsiTheme="majorHAnsi"/>
          <w:noProof/>
          <w:lang w:eastAsia="fr-FR" w:bidi="ar-SA"/>
        </w:rPr>
        <w:drawing>
          <wp:inline distT="0" distB="0" distL="0" distR="0" wp14:anchorId="3046CCE1" wp14:editId="272EA496">
            <wp:extent cx="12700" cy="12700"/>
            <wp:effectExtent l="0" t="0" r="0" b="0"/>
            <wp:docPr id="1" name="Image 1" descr="file:///Users/mcausse/Library/Caches/TemporaryItems/msoclip/0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ers/mcausse/Library/Caches/TemporaryItems/msoclip/0clip_image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9343831" w14:textId="77777777" w:rsidR="00BF110B" w:rsidRPr="00156D1C" w:rsidRDefault="0002616E">
      <w:pPr>
        <w:pStyle w:val="Corpsdetexte"/>
        <w:spacing w:after="200"/>
        <w:jc w:val="center"/>
        <w:rPr>
          <w:rFonts w:asciiTheme="majorHAnsi" w:hAnsiTheme="majorHAnsi"/>
          <w:b/>
          <w:sz w:val="22"/>
          <w:u w:val="single"/>
        </w:rPr>
      </w:pPr>
      <w:r>
        <w:rPr>
          <w:rFonts w:asciiTheme="majorHAnsi" w:hAnsiTheme="majorHAnsi"/>
          <w:i/>
          <w:sz w:val="22"/>
          <w:u w:val="single"/>
        </w:rPr>
        <w:t>Tableau</w:t>
      </w:r>
      <w:r w:rsidR="00BF110B" w:rsidRPr="00156D1C">
        <w:rPr>
          <w:rFonts w:asciiTheme="majorHAnsi" w:hAnsiTheme="majorHAnsi"/>
          <w:i/>
          <w:sz w:val="22"/>
          <w:u w:val="single"/>
        </w:rPr>
        <w:t xml:space="preserve"> 1 : Structure du projet</w:t>
      </w:r>
    </w:p>
    <w:p w14:paraId="135C8F30" w14:textId="77777777" w:rsidR="00BF110B" w:rsidRDefault="00BF110B">
      <w:pPr>
        <w:pStyle w:val="Corpsdetexte"/>
        <w:spacing w:after="200" w:line="276" w:lineRule="auto"/>
        <w:rPr>
          <w:rFonts w:asciiTheme="majorHAnsi" w:hAnsiTheme="majorHAnsi"/>
          <w:b/>
          <w:sz w:val="22"/>
          <w:u w:val="single"/>
        </w:rPr>
      </w:pPr>
      <w:r w:rsidRPr="00156D1C">
        <w:rPr>
          <w:rFonts w:asciiTheme="majorHAnsi" w:hAnsiTheme="majorHAnsi"/>
          <w:b/>
          <w:sz w:val="22"/>
          <w:u w:val="single"/>
        </w:rPr>
        <w:t>Contenu par action et indicateurs de suivis et d’évaluation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8"/>
        <w:gridCol w:w="1814"/>
        <w:gridCol w:w="1927"/>
        <w:gridCol w:w="1814"/>
        <w:gridCol w:w="1814"/>
      </w:tblGrid>
      <w:tr w:rsidR="00156D1C" w:rsidRPr="00C0565E" w14:paraId="05E544B2" w14:textId="77777777" w:rsidTr="00156D1C">
        <w:tc>
          <w:tcPr>
            <w:tcW w:w="1328" w:type="dxa"/>
          </w:tcPr>
          <w:p w14:paraId="60EDE0AE"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Action</w:t>
            </w:r>
          </w:p>
        </w:tc>
        <w:tc>
          <w:tcPr>
            <w:tcW w:w="1814" w:type="dxa"/>
          </w:tcPr>
          <w:p w14:paraId="20D14E8D"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A1</w:t>
            </w:r>
          </w:p>
        </w:tc>
        <w:tc>
          <w:tcPr>
            <w:tcW w:w="1927" w:type="dxa"/>
          </w:tcPr>
          <w:p w14:paraId="18BF3AD0"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A2</w:t>
            </w:r>
          </w:p>
        </w:tc>
        <w:tc>
          <w:tcPr>
            <w:tcW w:w="1814" w:type="dxa"/>
          </w:tcPr>
          <w:p w14:paraId="7B3FEAE4"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A3</w:t>
            </w:r>
          </w:p>
        </w:tc>
        <w:tc>
          <w:tcPr>
            <w:tcW w:w="1814" w:type="dxa"/>
          </w:tcPr>
          <w:p w14:paraId="5E2328E8"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A4</w:t>
            </w:r>
          </w:p>
        </w:tc>
      </w:tr>
      <w:tr w:rsidR="00156D1C" w:rsidRPr="00C0565E" w14:paraId="2DB3F738" w14:textId="77777777" w:rsidTr="00156D1C">
        <w:tc>
          <w:tcPr>
            <w:tcW w:w="1328" w:type="dxa"/>
          </w:tcPr>
          <w:p w14:paraId="4789102B"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Contenu</w:t>
            </w:r>
          </w:p>
        </w:tc>
        <w:tc>
          <w:tcPr>
            <w:tcW w:w="1814" w:type="dxa"/>
          </w:tcPr>
          <w:p w14:paraId="703E219A"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Phénotypage population RIL</w:t>
            </w:r>
          </w:p>
          <w:p w14:paraId="1A9C04F0"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Recherche de QTL de tolérance au stress</w:t>
            </w:r>
          </w:p>
        </w:tc>
        <w:tc>
          <w:tcPr>
            <w:tcW w:w="1927" w:type="dxa"/>
          </w:tcPr>
          <w:p w14:paraId="6E76258E"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Phénotypage collection, GWA Identification de gènes de tolérance au stress hydrique</w:t>
            </w:r>
          </w:p>
          <w:p w14:paraId="458BA588"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Colocalisations</w:t>
            </w:r>
          </w:p>
        </w:tc>
        <w:tc>
          <w:tcPr>
            <w:tcW w:w="1814" w:type="dxa"/>
          </w:tcPr>
          <w:p w14:paraId="195A3072"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Modélisation des interactions génotypes x stress hydrique</w:t>
            </w:r>
          </w:p>
        </w:tc>
        <w:tc>
          <w:tcPr>
            <w:tcW w:w="1814" w:type="dxa"/>
          </w:tcPr>
          <w:p w14:paraId="34013751"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Conception d’idéotypes culturaux</w:t>
            </w:r>
          </w:p>
        </w:tc>
      </w:tr>
      <w:tr w:rsidR="00156D1C" w:rsidRPr="00C0565E" w14:paraId="71A2BD35" w14:textId="77777777" w:rsidTr="00156D1C">
        <w:tc>
          <w:tcPr>
            <w:tcW w:w="1328" w:type="dxa"/>
          </w:tcPr>
          <w:p w14:paraId="6C1FDC2F"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Indicateurs de suivi</w:t>
            </w:r>
          </w:p>
        </w:tc>
        <w:tc>
          <w:tcPr>
            <w:tcW w:w="1814" w:type="dxa"/>
          </w:tcPr>
          <w:p w14:paraId="1D4EE3CC"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Données de phénotypage</w:t>
            </w:r>
          </w:p>
          <w:p w14:paraId="7685D229"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Carte de QTL</w:t>
            </w:r>
          </w:p>
        </w:tc>
        <w:tc>
          <w:tcPr>
            <w:tcW w:w="1927" w:type="dxa"/>
          </w:tcPr>
          <w:p w14:paraId="06DC72EC"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 xml:space="preserve">Carte de gènes candidats /QTL &amp; associations </w:t>
            </w:r>
          </w:p>
        </w:tc>
        <w:tc>
          <w:tcPr>
            <w:tcW w:w="1814" w:type="dxa"/>
          </w:tcPr>
          <w:p w14:paraId="52317D4F"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Modèle couplé plante-fruit</w:t>
            </w:r>
          </w:p>
        </w:tc>
        <w:tc>
          <w:tcPr>
            <w:tcW w:w="1814" w:type="dxa"/>
          </w:tcPr>
          <w:p w14:paraId="4FA114AB"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Simulations scénarios génotype x eau</w:t>
            </w:r>
          </w:p>
        </w:tc>
      </w:tr>
      <w:tr w:rsidR="00156D1C" w:rsidRPr="00C0565E" w14:paraId="04EBBCFD" w14:textId="77777777" w:rsidTr="00156D1C">
        <w:tc>
          <w:tcPr>
            <w:tcW w:w="1328" w:type="dxa"/>
          </w:tcPr>
          <w:p w14:paraId="0B419956"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Indicateurs d’évaluation</w:t>
            </w:r>
          </w:p>
        </w:tc>
        <w:tc>
          <w:tcPr>
            <w:tcW w:w="1814" w:type="dxa"/>
          </w:tcPr>
          <w:p w14:paraId="6EA42E1D"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QTL de tolérance au stress hydrique</w:t>
            </w:r>
          </w:p>
          <w:p w14:paraId="2B89FF61"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(Publication)</w:t>
            </w:r>
          </w:p>
        </w:tc>
        <w:tc>
          <w:tcPr>
            <w:tcW w:w="1927" w:type="dxa"/>
          </w:tcPr>
          <w:p w14:paraId="6816F4FE"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Co-localisation gènes/QTL</w:t>
            </w:r>
          </w:p>
          <w:p w14:paraId="53C19C6C"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(Publication)</w:t>
            </w:r>
          </w:p>
        </w:tc>
        <w:tc>
          <w:tcPr>
            <w:tcW w:w="1814" w:type="dxa"/>
          </w:tcPr>
          <w:p w14:paraId="459AC781"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Prédictions des réponses au stress hydrique</w:t>
            </w:r>
          </w:p>
          <w:p w14:paraId="5DE48BC2"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(Rapport)</w:t>
            </w:r>
          </w:p>
        </w:tc>
        <w:tc>
          <w:tcPr>
            <w:tcW w:w="1814" w:type="dxa"/>
          </w:tcPr>
          <w:p w14:paraId="23D280E6"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Idéotypes</w:t>
            </w:r>
          </w:p>
          <w:p w14:paraId="5DA7AEDA"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(Publication)</w:t>
            </w:r>
          </w:p>
        </w:tc>
      </w:tr>
      <w:tr w:rsidR="00156D1C" w:rsidRPr="00C0565E" w14:paraId="0E4DDCF9" w14:textId="77777777" w:rsidTr="00156D1C">
        <w:tc>
          <w:tcPr>
            <w:tcW w:w="1328" w:type="dxa"/>
          </w:tcPr>
          <w:p w14:paraId="62BDD694"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Partenaires impliqués</w:t>
            </w:r>
          </w:p>
        </w:tc>
        <w:tc>
          <w:tcPr>
            <w:tcW w:w="1814" w:type="dxa"/>
          </w:tcPr>
          <w:p w14:paraId="27DDCD19"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 xml:space="preserve">Gautier, Vilmorin, </w:t>
            </w:r>
          </w:p>
          <w:p w14:paraId="0312100D"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GAFL, PSH</w:t>
            </w:r>
          </w:p>
        </w:tc>
        <w:tc>
          <w:tcPr>
            <w:tcW w:w="1927" w:type="dxa"/>
          </w:tcPr>
          <w:p w14:paraId="66FE7FA3"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 xml:space="preserve">Gautier, Vilmorin, </w:t>
            </w:r>
          </w:p>
          <w:p w14:paraId="4C7383E8"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GAFL, PSH</w:t>
            </w:r>
          </w:p>
        </w:tc>
        <w:tc>
          <w:tcPr>
            <w:tcW w:w="1814" w:type="dxa"/>
          </w:tcPr>
          <w:p w14:paraId="06983726" w14:textId="77777777" w:rsidR="00156D1C" w:rsidRPr="00C0565E"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PSH, GAFL</w:t>
            </w:r>
          </w:p>
        </w:tc>
        <w:tc>
          <w:tcPr>
            <w:tcW w:w="1814" w:type="dxa"/>
          </w:tcPr>
          <w:p w14:paraId="18885472" w14:textId="77777777" w:rsidR="00156D1C" w:rsidRDefault="00156D1C" w:rsidP="00156D1C">
            <w:pPr>
              <w:autoSpaceDE w:val="0"/>
              <w:autoSpaceDN w:val="0"/>
              <w:adjustRightInd w:val="0"/>
              <w:jc w:val="center"/>
              <w:rPr>
                <w:rFonts w:ascii="Calibri" w:hAnsi="Calibri"/>
                <w:iCs/>
                <w:sz w:val="22"/>
                <w:szCs w:val="22"/>
                <w:lang w:eastAsia="en-US"/>
              </w:rPr>
            </w:pPr>
            <w:r w:rsidRPr="00C0565E">
              <w:rPr>
                <w:rFonts w:ascii="Calibri" w:hAnsi="Calibri"/>
                <w:iCs/>
                <w:sz w:val="22"/>
                <w:szCs w:val="22"/>
                <w:lang w:eastAsia="en-US"/>
              </w:rPr>
              <w:t>PSH</w:t>
            </w:r>
          </w:p>
          <w:p w14:paraId="411C5043" w14:textId="77777777" w:rsidR="00156D1C" w:rsidRDefault="00156D1C" w:rsidP="00156D1C">
            <w:pPr>
              <w:autoSpaceDE w:val="0"/>
              <w:autoSpaceDN w:val="0"/>
              <w:adjustRightInd w:val="0"/>
              <w:jc w:val="center"/>
              <w:rPr>
                <w:rFonts w:ascii="Calibri" w:hAnsi="Calibri"/>
                <w:iCs/>
                <w:sz w:val="22"/>
                <w:szCs w:val="22"/>
                <w:lang w:eastAsia="en-US"/>
              </w:rPr>
            </w:pPr>
          </w:p>
          <w:p w14:paraId="763FF2AD" w14:textId="77777777" w:rsidR="00156D1C" w:rsidRPr="00C0565E" w:rsidRDefault="00156D1C" w:rsidP="00156D1C">
            <w:pPr>
              <w:autoSpaceDE w:val="0"/>
              <w:autoSpaceDN w:val="0"/>
              <w:adjustRightInd w:val="0"/>
              <w:jc w:val="center"/>
              <w:rPr>
                <w:rFonts w:ascii="Calibri" w:hAnsi="Calibri"/>
                <w:iCs/>
                <w:sz w:val="22"/>
                <w:szCs w:val="22"/>
                <w:lang w:eastAsia="en-US"/>
              </w:rPr>
            </w:pPr>
          </w:p>
        </w:tc>
      </w:tr>
    </w:tbl>
    <w:p w14:paraId="5C22F554" w14:textId="77777777" w:rsidR="00156D1C" w:rsidRPr="00156D1C" w:rsidRDefault="00156D1C">
      <w:pPr>
        <w:pStyle w:val="Corpsdetexte"/>
        <w:spacing w:after="200" w:line="276" w:lineRule="auto"/>
        <w:rPr>
          <w:rFonts w:asciiTheme="majorHAnsi" w:hAnsiTheme="majorHAnsi"/>
          <w:sz w:val="22"/>
        </w:rPr>
      </w:pPr>
    </w:p>
    <w:p w14:paraId="442A6C2F" w14:textId="77777777" w:rsidR="00BF110B" w:rsidRPr="00156D1C" w:rsidRDefault="00BF110B">
      <w:pPr>
        <w:pStyle w:val="Titre2"/>
        <w:rPr>
          <w:rFonts w:asciiTheme="majorHAnsi" w:hAnsiTheme="majorHAnsi"/>
        </w:rPr>
      </w:pPr>
      <w:r w:rsidRPr="00156D1C">
        <w:rPr>
          <w:rFonts w:asciiTheme="majorHAnsi" w:hAnsiTheme="majorHAnsi"/>
        </w:rPr>
        <w:t xml:space="preserve"> Bilan par action </w:t>
      </w:r>
    </w:p>
    <w:p w14:paraId="2A852AA8" w14:textId="77777777" w:rsidR="00BF110B" w:rsidRPr="00156D1C" w:rsidRDefault="00BF110B">
      <w:pPr>
        <w:pStyle w:val="Corpsdetexte"/>
        <w:rPr>
          <w:rFonts w:asciiTheme="majorHAnsi" w:hAnsiTheme="majorHAnsi"/>
          <w:b/>
          <w:sz w:val="22"/>
        </w:rPr>
      </w:pPr>
      <w:r w:rsidRPr="00156D1C">
        <w:rPr>
          <w:rFonts w:asciiTheme="majorHAnsi" w:hAnsiTheme="majorHAnsi"/>
        </w:rPr>
        <w:t>  </w:t>
      </w:r>
    </w:p>
    <w:p w14:paraId="51C231DE" w14:textId="77777777" w:rsidR="00BF110B" w:rsidRPr="00B32AF9" w:rsidRDefault="00BF110B" w:rsidP="00B32AF9">
      <w:pPr>
        <w:pStyle w:val="Corpsdetexte"/>
        <w:pBdr>
          <w:top w:val="single" w:sz="4" w:space="1" w:color="auto"/>
          <w:left w:val="single" w:sz="4" w:space="4" w:color="auto"/>
          <w:bottom w:val="single" w:sz="4" w:space="1" w:color="auto"/>
          <w:right w:val="single" w:sz="4" w:space="4" w:color="auto"/>
        </w:pBdr>
        <w:spacing w:after="200"/>
        <w:ind w:left="142"/>
        <w:rPr>
          <w:rFonts w:asciiTheme="majorHAnsi" w:hAnsiTheme="majorHAnsi"/>
          <w:color w:val="1F497D" w:themeColor="text2"/>
          <w:sz w:val="28"/>
        </w:rPr>
      </w:pPr>
      <w:r w:rsidRPr="00B32AF9">
        <w:rPr>
          <w:rFonts w:asciiTheme="majorHAnsi" w:hAnsiTheme="majorHAnsi"/>
          <w:b/>
          <w:color w:val="1F497D" w:themeColor="text2"/>
        </w:rPr>
        <w:t>A1. Phénotypage d’une population de lignées recombinantes en conditions de stress hydrique et de non stress – Analyse de QTL</w:t>
      </w:r>
    </w:p>
    <w:p w14:paraId="21FFEC64" w14:textId="77777777" w:rsidR="00BF110B" w:rsidRPr="00156D1C" w:rsidRDefault="00BF110B">
      <w:pPr>
        <w:pStyle w:val="Corpsdetexte"/>
        <w:spacing w:after="200"/>
        <w:ind w:right="140"/>
        <w:jc w:val="both"/>
        <w:rPr>
          <w:rFonts w:asciiTheme="majorHAnsi" w:hAnsiTheme="majorHAnsi"/>
        </w:rPr>
      </w:pPr>
      <w:r w:rsidRPr="00156D1C">
        <w:rPr>
          <w:rFonts w:asciiTheme="majorHAnsi" w:hAnsiTheme="majorHAnsi"/>
        </w:rPr>
        <w:t> </w:t>
      </w:r>
    </w:p>
    <w:p w14:paraId="721C6A87" w14:textId="77777777" w:rsidR="00BF110B" w:rsidRPr="00156D1C" w:rsidRDefault="00BF110B">
      <w:pPr>
        <w:pStyle w:val="Titre3"/>
        <w:rPr>
          <w:rFonts w:asciiTheme="majorHAnsi" w:hAnsiTheme="majorHAnsi"/>
          <w:sz w:val="22"/>
        </w:rPr>
      </w:pPr>
      <w:r w:rsidRPr="00156D1C">
        <w:rPr>
          <w:rFonts w:asciiTheme="majorHAnsi" w:hAnsiTheme="majorHAnsi"/>
        </w:rPr>
        <w:t xml:space="preserve">Objectifs </w:t>
      </w:r>
    </w:p>
    <w:p w14:paraId="472FB1B5" w14:textId="77777777" w:rsidR="00BF110B" w:rsidRPr="00156D1C" w:rsidRDefault="00BF110B">
      <w:pPr>
        <w:pStyle w:val="Corpsdetexte"/>
        <w:spacing w:after="200"/>
        <w:ind w:right="140"/>
        <w:jc w:val="both"/>
        <w:rPr>
          <w:rFonts w:asciiTheme="majorHAnsi" w:hAnsiTheme="majorHAnsi"/>
        </w:rPr>
      </w:pPr>
      <w:r w:rsidRPr="00156D1C">
        <w:rPr>
          <w:rFonts w:asciiTheme="majorHAnsi" w:hAnsiTheme="majorHAnsi"/>
          <w:sz w:val="22"/>
        </w:rPr>
        <w:t xml:space="preserve">Cette action avait pour objectif de rechercher des QTL de tolérance au stress hydrique. Ce travail a été mené sur une population de 120 lignées recombinantes obtenues à partir d’un croisement entre Cervil (lignée de type cerise de bonne qualité organoleptique) et Levovil (lignée de calibre normal). Cette population est bien caractérisée pour des traits de qualité organoleptique et sensorielle (Causse et al. 2002) et les deux parents présentent des phénotypes contrastés en termes de résistance au stress hydrique (thèse de R Aurand, résultats préliminaires). Une carte génétique saturée de plusieurs centaines de marqueurs SNP était disponible au début du projet. </w:t>
      </w:r>
    </w:p>
    <w:p w14:paraId="0BC13F8E" w14:textId="77777777" w:rsidR="00BF110B" w:rsidRPr="00156D1C" w:rsidRDefault="00BF110B">
      <w:pPr>
        <w:pStyle w:val="Titre3"/>
        <w:rPr>
          <w:rFonts w:asciiTheme="majorHAnsi" w:hAnsiTheme="majorHAnsi"/>
          <w:sz w:val="22"/>
        </w:rPr>
      </w:pPr>
      <w:r w:rsidRPr="00156D1C">
        <w:rPr>
          <w:rFonts w:asciiTheme="majorHAnsi" w:hAnsiTheme="majorHAnsi"/>
        </w:rPr>
        <w:t xml:space="preserve">Expérimentations </w:t>
      </w:r>
    </w:p>
    <w:p w14:paraId="0FAFD30D" w14:textId="77777777" w:rsidR="00BF110B" w:rsidRPr="00156D1C" w:rsidRDefault="00BF110B">
      <w:pPr>
        <w:pStyle w:val="Corpsdetexte"/>
        <w:ind w:right="140"/>
        <w:jc w:val="both"/>
        <w:rPr>
          <w:rFonts w:asciiTheme="majorHAnsi" w:hAnsiTheme="majorHAnsi"/>
        </w:rPr>
      </w:pPr>
      <w:r w:rsidRPr="00156D1C">
        <w:rPr>
          <w:rFonts w:asciiTheme="majorHAnsi" w:hAnsiTheme="majorHAnsi"/>
          <w:sz w:val="22"/>
        </w:rPr>
        <w:t xml:space="preserve">Ces lignées, déjà phénotypées et génotypées dans des conditions de culture non stressantes, ont été </w:t>
      </w:r>
      <w:r w:rsidRPr="00156D1C">
        <w:rPr>
          <w:rFonts w:asciiTheme="majorHAnsi" w:hAnsiTheme="majorHAnsi"/>
          <w:sz w:val="22"/>
        </w:rPr>
        <w:lastRenderedPageBreak/>
        <w:t>phénotypées au cours de la première année</w:t>
      </w:r>
      <w:r w:rsidR="00761CB3">
        <w:rPr>
          <w:rFonts w:asciiTheme="majorHAnsi" w:hAnsiTheme="majorHAnsi"/>
          <w:sz w:val="22"/>
        </w:rPr>
        <w:t xml:space="preserve"> </w:t>
      </w:r>
      <w:r w:rsidRPr="00156D1C">
        <w:rPr>
          <w:rFonts w:asciiTheme="majorHAnsi" w:hAnsiTheme="majorHAnsi"/>
          <w:sz w:val="22"/>
        </w:rPr>
        <w:t>en conditions témoin (bien irrigué) et en condition de stress hydrique (-25% d’apport en eau continu dès la floraison du bouquet 2 de Cervil puis une semaine après -50% en continu) en 2 lieux :</w:t>
      </w:r>
    </w:p>
    <w:p w14:paraId="6740507E" w14:textId="77777777" w:rsidR="00BF110B" w:rsidRPr="00156D1C" w:rsidRDefault="00BF110B">
      <w:pPr>
        <w:pStyle w:val="Corpsdetexte"/>
        <w:jc w:val="both"/>
        <w:rPr>
          <w:rFonts w:asciiTheme="majorHAnsi" w:hAnsiTheme="majorHAnsi"/>
          <w:sz w:val="22"/>
        </w:rPr>
      </w:pPr>
      <w:r w:rsidRPr="00156D1C">
        <w:rPr>
          <w:rFonts w:asciiTheme="majorHAnsi" w:hAnsiTheme="majorHAnsi"/>
        </w:rPr>
        <w:t> </w:t>
      </w:r>
    </w:p>
    <w:p w14:paraId="295CE983" w14:textId="77777777" w:rsidR="00BF110B" w:rsidRPr="00156D1C" w:rsidRDefault="00BF110B">
      <w:pPr>
        <w:pStyle w:val="Corpsdetexte"/>
        <w:spacing w:after="200"/>
        <w:ind w:left="851" w:right="140" w:hanging="284"/>
        <w:jc w:val="both"/>
        <w:rPr>
          <w:rFonts w:asciiTheme="majorHAnsi" w:hAnsiTheme="majorHAnsi"/>
          <w:sz w:val="22"/>
        </w:rPr>
      </w:pPr>
      <w:r w:rsidRPr="00156D1C">
        <w:rPr>
          <w:rFonts w:asciiTheme="majorHAnsi" w:hAnsiTheme="majorHAnsi"/>
          <w:sz w:val="22"/>
        </w:rPr>
        <w:t xml:space="preserve">-      en serre à l’UR GAFL </w:t>
      </w:r>
      <w:r w:rsidR="00761CB3">
        <w:rPr>
          <w:rFonts w:asciiTheme="majorHAnsi" w:hAnsiTheme="majorHAnsi"/>
          <w:sz w:val="22"/>
        </w:rPr>
        <w:t>(printemps 2013)</w:t>
      </w:r>
      <w:r w:rsidR="00761CB3" w:rsidRPr="00156D1C">
        <w:rPr>
          <w:rFonts w:asciiTheme="majorHAnsi" w:hAnsiTheme="majorHAnsi"/>
          <w:sz w:val="22"/>
        </w:rPr>
        <w:t xml:space="preserve"> </w:t>
      </w:r>
      <w:r w:rsidRPr="00156D1C">
        <w:rPr>
          <w:rFonts w:asciiTheme="majorHAnsi" w:hAnsiTheme="majorHAnsi"/>
          <w:sz w:val="22"/>
        </w:rPr>
        <w:t xml:space="preserve">afin d’évaluer également les paramètres écophysiologiques. L’intensité du stress était contrôlée par des mesures d’humidité du substrat et par des mesures ponctuelles de  potentiel hydrique des tiges et des feuilles permettant de comparer l’évolution de l’état hydrique des plantes pour les différents génotypes. Des mesures de vigueur (diamètre de tige et hauteur de bouquet), de croissance (expansion foliaire, </w:t>
      </w:r>
      <w:r w:rsidR="00761CB3">
        <w:rPr>
          <w:rFonts w:asciiTheme="majorHAnsi" w:hAnsiTheme="majorHAnsi"/>
          <w:sz w:val="22"/>
        </w:rPr>
        <w:t xml:space="preserve">potentiel hydrique, </w:t>
      </w:r>
      <w:r w:rsidRPr="00156D1C">
        <w:rPr>
          <w:rFonts w:asciiTheme="majorHAnsi" w:hAnsiTheme="majorHAnsi"/>
          <w:sz w:val="22"/>
        </w:rPr>
        <w:t>conductance stomatique et paramètres photosynthétiques) et de développement (nombre de feuilles, d’inflorescences et de fruits) ainsi que des mesures de rendement (Poids frais et sec) et de qualité des fruits (fermeté, teneur en solides solubles) ont été réalisées</w:t>
      </w:r>
      <w:r w:rsidR="00761CB3">
        <w:rPr>
          <w:rFonts w:asciiTheme="majorHAnsi" w:hAnsiTheme="majorHAnsi"/>
          <w:sz w:val="22"/>
        </w:rPr>
        <w:t>. Afin de calibrer les modèles, la croissance en matière fraiche et sèche des fruits a été mesurée en cinétique au cours du développement du fruit sur l’ensemble de la population</w:t>
      </w:r>
      <w:r w:rsidRPr="00156D1C">
        <w:rPr>
          <w:rFonts w:asciiTheme="majorHAnsi" w:hAnsiTheme="majorHAnsi"/>
          <w:sz w:val="22"/>
        </w:rPr>
        <w:t>.</w:t>
      </w:r>
    </w:p>
    <w:p w14:paraId="6C77041B" w14:textId="77777777" w:rsidR="00BF110B" w:rsidRPr="00156D1C" w:rsidRDefault="00BF110B">
      <w:pPr>
        <w:pStyle w:val="Corpsdetexte"/>
        <w:spacing w:after="200"/>
        <w:ind w:left="851" w:right="140" w:hanging="284"/>
        <w:jc w:val="both"/>
        <w:rPr>
          <w:rFonts w:asciiTheme="majorHAnsi" w:hAnsiTheme="majorHAnsi"/>
        </w:rPr>
      </w:pPr>
      <w:r w:rsidRPr="00156D1C">
        <w:rPr>
          <w:rFonts w:asciiTheme="majorHAnsi" w:hAnsiTheme="majorHAnsi"/>
          <w:sz w:val="22"/>
        </w:rPr>
        <w:t>-      au Maroc (essai chez Gautier Semences), en conditions de production, avec un suivi de la croissance des plantes et une évaluation finale de la production. Un protocole expérimental commun a été mis en place de manière concertée en début de projet.</w:t>
      </w:r>
    </w:p>
    <w:p w14:paraId="2CE55E85" w14:textId="77777777" w:rsidR="00BF110B" w:rsidRPr="00156D1C" w:rsidRDefault="00BF110B">
      <w:pPr>
        <w:pStyle w:val="Corpsdetexte"/>
        <w:jc w:val="both"/>
        <w:rPr>
          <w:rFonts w:asciiTheme="majorHAnsi" w:hAnsiTheme="majorHAnsi"/>
        </w:rPr>
      </w:pPr>
      <w:r w:rsidRPr="00156D1C">
        <w:rPr>
          <w:rFonts w:asciiTheme="majorHAnsi" w:hAnsiTheme="majorHAnsi"/>
        </w:rPr>
        <w:t> </w:t>
      </w:r>
    </w:p>
    <w:p w14:paraId="7667DE91" w14:textId="77777777" w:rsidR="00BF110B" w:rsidRPr="00156D1C" w:rsidRDefault="00BF110B">
      <w:pPr>
        <w:pStyle w:val="Titre3"/>
        <w:rPr>
          <w:rFonts w:asciiTheme="majorHAnsi" w:hAnsiTheme="majorHAnsi"/>
        </w:rPr>
      </w:pPr>
      <w:r w:rsidRPr="00156D1C">
        <w:rPr>
          <w:rFonts w:asciiTheme="majorHAnsi" w:hAnsiTheme="majorHAnsi"/>
        </w:rPr>
        <w:t xml:space="preserve">Résultats </w:t>
      </w:r>
    </w:p>
    <w:p w14:paraId="09D2611B" w14:textId="77777777" w:rsidR="0002616E" w:rsidRPr="00156D1C" w:rsidRDefault="0002616E" w:rsidP="0002616E">
      <w:pPr>
        <w:pStyle w:val="Corpsdetexte"/>
        <w:jc w:val="both"/>
        <w:rPr>
          <w:rFonts w:asciiTheme="majorHAnsi" w:hAnsiTheme="majorHAnsi"/>
        </w:rPr>
      </w:pPr>
      <w:r w:rsidRPr="00156D1C">
        <w:rPr>
          <w:rFonts w:asciiTheme="majorHAnsi" w:hAnsiTheme="majorHAnsi"/>
          <w:sz w:val="22"/>
        </w:rPr>
        <w:t>Les analyses statistiques pour la recherche de QTL ont été réalisées par l’</w:t>
      </w:r>
      <w:r>
        <w:rPr>
          <w:rFonts w:asciiTheme="majorHAnsi" w:hAnsiTheme="majorHAnsi"/>
          <w:sz w:val="22"/>
        </w:rPr>
        <w:t xml:space="preserve">UR GAFL (thèse de Elise Albert) et ont fait l’objet d’un article publié dans TAG (Albert et al, 2016), dont les résultats principaux sont décrits ci-dessous. </w:t>
      </w:r>
      <w:r w:rsidRPr="00156D1C">
        <w:rPr>
          <w:rFonts w:asciiTheme="majorHAnsi" w:hAnsiTheme="majorHAnsi"/>
          <w:sz w:val="22"/>
        </w:rPr>
        <w:t xml:space="preserve"> </w:t>
      </w:r>
    </w:p>
    <w:p w14:paraId="66E4092C" w14:textId="77777777" w:rsidR="00BF110B" w:rsidRPr="00156D1C" w:rsidRDefault="00BF110B">
      <w:pPr>
        <w:pStyle w:val="Corpsdetexte"/>
        <w:rPr>
          <w:rFonts w:asciiTheme="majorHAnsi" w:hAnsiTheme="majorHAnsi"/>
        </w:rPr>
      </w:pPr>
      <w:r w:rsidRPr="00156D1C">
        <w:rPr>
          <w:rFonts w:asciiTheme="majorHAnsi" w:hAnsiTheme="majorHAnsi"/>
        </w:rPr>
        <w:t> </w:t>
      </w:r>
    </w:p>
    <w:p w14:paraId="5540B7F2" w14:textId="77777777" w:rsidR="00BF110B" w:rsidRPr="00156D1C" w:rsidRDefault="00BF110B">
      <w:pPr>
        <w:pStyle w:val="Corpsdetexte"/>
        <w:ind w:left="786" w:hanging="360"/>
        <w:jc w:val="both"/>
        <w:rPr>
          <w:rFonts w:asciiTheme="majorHAnsi" w:hAnsiTheme="majorHAnsi"/>
        </w:rPr>
      </w:pPr>
      <w:r w:rsidRPr="00156D1C">
        <w:rPr>
          <w:rFonts w:asciiTheme="majorHAnsi" w:hAnsiTheme="majorHAnsi"/>
        </w:rPr>
        <w:t></w:t>
      </w:r>
      <w:r w:rsidRPr="00156D1C">
        <w:rPr>
          <w:rFonts w:asciiTheme="majorHAnsi" w:hAnsiTheme="majorHAnsi"/>
          <w:b/>
        </w:rPr>
        <w:t>Analyses phénotypique de la réponse au DH chez les parents Cervil et Levovil et leurs descendance</w:t>
      </w:r>
    </w:p>
    <w:p w14:paraId="2EDDAC63" w14:textId="77777777" w:rsidR="00BF110B" w:rsidRPr="00156D1C" w:rsidRDefault="00BF110B">
      <w:pPr>
        <w:pStyle w:val="Corpsdetexte"/>
        <w:jc w:val="both"/>
        <w:rPr>
          <w:rFonts w:asciiTheme="majorHAnsi" w:hAnsiTheme="majorHAnsi"/>
        </w:rPr>
      </w:pPr>
      <w:r w:rsidRPr="00156D1C">
        <w:rPr>
          <w:rFonts w:asciiTheme="majorHAnsi" w:hAnsiTheme="majorHAnsi"/>
        </w:rPr>
        <w:t xml:space="preserve">Des interactions significatives entre le traitement (témoin vs DH) et l’essai (Agadir vs Avignon) ont été observées chez les deux génotypes parentaux et chez les RIL. Ainsi, les données phénotypiques des deux essais ont été analysées séparément. </w:t>
      </w:r>
    </w:p>
    <w:p w14:paraId="092B13E8" w14:textId="77777777" w:rsidR="00BF110B" w:rsidRPr="00156D1C" w:rsidRDefault="00BF110B">
      <w:pPr>
        <w:pStyle w:val="Corpsdetexte"/>
        <w:jc w:val="both"/>
        <w:rPr>
          <w:rFonts w:asciiTheme="majorHAnsi" w:hAnsiTheme="majorHAnsi"/>
        </w:rPr>
      </w:pPr>
      <w:r w:rsidRPr="00156D1C">
        <w:rPr>
          <w:rFonts w:asciiTheme="majorHAnsi" w:hAnsiTheme="majorHAnsi"/>
        </w:rPr>
        <w:t>Chez les deux parents, des diminutions significatives des diamètres des tiges et des longueurs des feuilles sous l’effet du DH ont été observées alors que les hauteurs de plantes et dates de floraison n’ont pas été affectées de façon significative par le DH quel que soit l’essai. Les caractères de qualité physique et biochimique des fruits (fermeté, poids frais, teneur en MS, teneur en sucres solubles) présentaient des interactions génotype x traitement (G x T) fortement significatives lors des deux essais. Celles-ci reflétaient une diminution plus importante du poids frais des fruits chez Levovil (génotype à gros fruits), par rapport à Cervil (génotype à petits fruits). Cette plus forte diminution du poids frais des fruits de Levovil était associée à une hausse plus importante de la teneur en matière sèche et de la concentration des différents composés biochimiques exprimés en pourcentage de matière fraiche (Vitamine C, sucres, acides). Lorsque les concentrations en sucres et en vitamines C sont exprimées en pourcentage de matière sèche, les interactions G x T ne sont plus significatives.</w:t>
      </w:r>
    </w:p>
    <w:p w14:paraId="54A758C3" w14:textId="77777777" w:rsidR="00BF110B" w:rsidRPr="00156D1C" w:rsidRDefault="00BF110B">
      <w:pPr>
        <w:pStyle w:val="Corpsdetexte"/>
        <w:jc w:val="both"/>
        <w:rPr>
          <w:rFonts w:asciiTheme="majorHAnsi" w:hAnsiTheme="majorHAnsi"/>
        </w:rPr>
      </w:pPr>
      <w:r w:rsidRPr="00156D1C">
        <w:rPr>
          <w:rFonts w:asciiTheme="majorHAnsi" w:hAnsiTheme="majorHAnsi"/>
        </w:rPr>
        <w:t> </w:t>
      </w:r>
    </w:p>
    <w:p w14:paraId="3305147F" w14:textId="77777777" w:rsidR="00BF110B" w:rsidRPr="00156D1C" w:rsidRDefault="00C71A8D">
      <w:pPr>
        <w:pStyle w:val="Corpsdetexte"/>
        <w:shd w:val="clear" w:color="auto" w:fill="FFFFFF"/>
        <w:spacing w:line="312" w:lineRule="atLeast"/>
        <w:jc w:val="center"/>
        <w:rPr>
          <w:rFonts w:asciiTheme="majorHAnsi" w:hAnsiTheme="majorHAnsi"/>
          <w:b/>
          <w:sz w:val="20"/>
        </w:rPr>
      </w:pPr>
      <w:r w:rsidRPr="00156D1C">
        <w:rPr>
          <w:rFonts w:asciiTheme="majorHAnsi" w:hAnsiTheme="majorHAnsi"/>
          <w:noProof/>
          <w:lang w:eastAsia="fr-FR" w:bidi="ar-SA"/>
        </w:rPr>
        <w:lastRenderedPageBreak/>
        <w:drawing>
          <wp:inline distT="0" distB="0" distL="0" distR="0" wp14:anchorId="436CE7F5" wp14:editId="37B47AA0">
            <wp:extent cx="5535650" cy="4292615"/>
            <wp:effectExtent l="0" t="0" r="1905" b="0"/>
            <wp:docPr id="2" name="Image 2" descr="file:///Users/mcausse/Library/Caches/TemporaryItems/msoclip/0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Users/mcausse/Library/Caches/TemporaryItems/msoclip/0clip_image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6067" cy="4292939"/>
                    </a:xfrm>
                    <a:prstGeom prst="rect">
                      <a:avLst/>
                    </a:prstGeom>
                    <a:noFill/>
                    <a:ln>
                      <a:noFill/>
                    </a:ln>
                  </pic:spPr>
                </pic:pic>
              </a:graphicData>
            </a:graphic>
          </wp:inline>
        </w:drawing>
      </w:r>
    </w:p>
    <w:p w14:paraId="64F015F0" w14:textId="77777777" w:rsidR="00BF110B" w:rsidRPr="0002616E" w:rsidRDefault="0002616E" w:rsidP="0002616E">
      <w:pPr>
        <w:pStyle w:val="Corpsdetexte"/>
        <w:rPr>
          <w:rFonts w:asciiTheme="majorHAnsi" w:hAnsiTheme="majorHAnsi"/>
          <w:sz w:val="20"/>
        </w:rPr>
      </w:pPr>
      <w:r>
        <w:rPr>
          <w:rFonts w:asciiTheme="majorHAnsi" w:hAnsiTheme="majorHAnsi"/>
          <w:b/>
          <w:sz w:val="20"/>
        </w:rPr>
        <w:t>Fig. 1</w:t>
      </w:r>
      <w:r w:rsidR="00BF110B" w:rsidRPr="00156D1C">
        <w:rPr>
          <w:rFonts w:asciiTheme="majorHAnsi" w:hAnsiTheme="majorHAnsi"/>
          <w:b/>
          <w:sz w:val="20"/>
        </w:rPr>
        <w:t xml:space="preserve">. </w:t>
      </w:r>
      <w:r w:rsidR="00BF110B" w:rsidRPr="00156D1C">
        <w:rPr>
          <w:rFonts w:asciiTheme="majorHAnsi" w:hAnsiTheme="majorHAnsi"/>
          <w:sz w:val="20"/>
        </w:rPr>
        <w:t xml:space="preserve">Distribution </w:t>
      </w:r>
      <w:r w:rsidR="00BF110B" w:rsidRPr="00156D1C">
        <w:rPr>
          <w:rFonts w:asciiTheme="majorHAnsi" w:eastAsia="inherit" w:hAnsiTheme="majorHAnsi" w:cs="Courier"/>
          <w:color w:val="212121"/>
          <w:kern w:val="0"/>
          <w:sz w:val="20"/>
          <w:szCs w:val="20"/>
          <w:lang w:eastAsia="fr-FR" w:bidi="ar-SA"/>
        </w:rPr>
        <w:t xml:space="preserve">des moyennes des traits mesurés sur plantes et fruits dans les lignées recombinantes (RIL) cultivées sous deux régimes d'arrosage à Avignon . La couleur Opaque indique les valeurs de traits sous condition contrôle et les valeurs transparentes les traits mesurés sous </w:t>
      </w:r>
      <w:r>
        <w:rPr>
          <w:rFonts w:asciiTheme="majorHAnsi" w:eastAsia="inherit" w:hAnsiTheme="majorHAnsi" w:cs="Courier"/>
          <w:color w:val="212121"/>
          <w:kern w:val="0"/>
          <w:sz w:val="20"/>
          <w:szCs w:val="20"/>
          <w:lang w:eastAsia="fr-FR" w:bidi="ar-SA"/>
        </w:rPr>
        <w:t>DH</w:t>
      </w:r>
      <w:r w:rsidR="00BF110B" w:rsidRPr="00156D1C">
        <w:rPr>
          <w:rFonts w:asciiTheme="majorHAnsi" w:eastAsia="inherit" w:hAnsiTheme="majorHAnsi" w:cs="Courier"/>
          <w:color w:val="212121"/>
          <w:kern w:val="0"/>
          <w:sz w:val="20"/>
          <w:szCs w:val="20"/>
          <w:lang w:eastAsia="fr-FR" w:bidi="ar-SA"/>
        </w:rPr>
        <w:t xml:space="preserve">. Les valeurs moyennes parentales sont indiquées : ligne rouge pleine pour Cervil en contrôle, ligne pointillée rouge pour Cervil en </w:t>
      </w:r>
      <w:r>
        <w:rPr>
          <w:rFonts w:asciiTheme="majorHAnsi" w:eastAsia="inherit" w:hAnsiTheme="majorHAnsi" w:cs="Courier"/>
          <w:color w:val="212121"/>
          <w:kern w:val="0"/>
          <w:sz w:val="20"/>
          <w:szCs w:val="20"/>
          <w:lang w:eastAsia="fr-FR" w:bidi="ar-SA"/>
        </w:rPr>
        <w:t>DH</w:t>
      </w:r>
      <w:r w:rsidR="00BF110B" w:rsidRPr="00156D1C">
        <w:rPr>
          <w:rFonts w:asciiTheme="majorHAnsi" w:eastAsia="inherit" w:hAnsiTheme="majorHAnsi" w:cs="Courier"/>
          <w:color w:val="212121"/>
          <w:kern w:val="0"/>
          <w:sz w:val="20"/>
          <w:szCs w:val="20"/>
          <w:lang w:eastAsia="fr-FR" w:bidi="ar-SA"/>
        </w:rPr>
        <w:t xml:space="preserve">; ligne pleine noire pour Levovil en contrôle et ligne pointillée noire pour Levovil en </w:t>
      </w:r>
      <w:r>
        <w:rPr>
          <w:rFonts w:asciiTheme="majorHAnsi" w:eastAsia="inherit" w:hAnsiTheme="majorHAnsi" w:cs="Courier"/>
          <w:color w:val="212121"/>
          <w:kern w:val="0"/>
          <w:sz w:val="20"/>
          <w:szCs w:val="20"/>
          <w:lang w:eastAsia="fr-FR" w:bidi="ar-SA"/>
        </w:rPr>
        <w:t>DH</w:t>
      </w:r>
      <w:r w:rsidR="00BF110B" w:rsidRPr="00156D1C">
        <w:rPr>
          <w:rFonts w:asciiTheme="majorHAnsi" w:eastAsia="inherit" w:hAnsiTheme="majorHAnsi" w:cs="Courier"/>
          <w:color w:val="212121"/>
          <w:kern w:val="0"/>
          <w:sz w:val="20"/>
          <w:szCs w:val="20"/>
          <w:lang w:eastAsia="fr-FR" w:bidi="ar-SA"/>
        </w:rPr>
        <w:t>. Les flèches noires représentent la population RIL</w:t>
      </w:r>
      <w:r>
        <w:rPr>
          <w:rFonts w:asciiTheme="majorHAnsi" w:eastAsia="inherit" w:hAnsiTheme="majorHAnsi" w:cs="Courier"/>
          <w:color w:val="212121"/>
          <w:kern w:val="0"/>
          <w:sz w:val="20"/>
          <w:szCs w:val="20"/>
          <w:lang w:eastAsia="fr-FR" w:bidi="ar-SA"/>
        </w:rPr>
        <w:t xml:space="preserve"> : flèche en pointillés pour le DH </w:t>
      </w:r>
      <w:r w:rsidR="00BF110B" w:rsidRPr="00156D1C">
        <w:rPr>
          <w:rFonts w:asciiTheme="majorHAnsi" w:eastAsia="inherit" w:hAnsiTheme="majorHAnsi" w:cs="Courier"/>
          <w:color w:val="212121"/>
          <w:kern w:val="0"/>
          <w:sz w:val="20"/>
          <w:szCs w:val="20"/>
          <w:lang w:eastAsia="fr-FR" w:bidi="ar-SA"/>
        </w:rPr>
        <w:t>et pleines pour la condition contrôle</w:t>
      </w:r>
    </w:p>
    <w:p w14:paraId="6986952A" w14:textId="77777777" w:rsidR="00BF110B" w:rsidRPr="00156D1C" w:rsidRDefault="00BF110B">
      <w:pPr>
        <w:pStyle w:val="Corpsdetexte"/>
        <w:jc w:val="both"/>
        <w:rPr>
          <w:rFonts w:asciiTheme="majorHAnsi" w:hAnsiTheme="majorHAnsi"/>
        </w:rPr>
      </w:pPr>
      <w:r w:rsidRPr="00156D1C">
        <w:rPr>
          <w:rFonts w:asciiTheme="majorHAnsi" w:hAnsiTheme="majorHAnsi"/>
        </w:rPr>
        <w:t> </w:t>
      </w:r>
    </w:p>
    <w:p w14:paraId="6B156B8F" w14:textId="77777777" w:rsidR="00BF110B" w:rsidRPr="00156D1C" w:rsidRDefault="00BF110B">
      <w:pPr>
        <w:pStyle w:val="Corpsdetexte"/>
        <w:jc w:val="both"/>
        <w:rPr>
          <w:rFonts w:asciiTheme="majorHAnsi" w:hAnsiTheme="majorHAnsi"/>
        </w:rPr>
      </w:pPr>
      <w:r w:rsidRPr="00156D1C">
        <w:rPr>
          <w:rFonts w:asciiTheme="majorHAnsi" w:hAnsiTheme="majorHAnsi"/>
        </w:rPr>
        <w:t xml:space="preserve">Chez les RIL, une importante variabilité phénotypique en condition de DH et en condition témoin a été observée </w:t>
      </w:r>
      <w:r w:rsidR="0002616E">
        <w:rPr>
          <w:rFonts w:asciiTheme="majorHAnsi" w:hAnsiTheme="majorHAnsi"/>
        </w:rPr>
        <w:t xml:space="preserve">(Fig. 1) </w:t>
      </w:r>
      <w:r w:rsidRPr="00156D1C">
        <w:rPr>
          <w:rFonts w:asciiTheme="majorHAnsi" w:hAnsiTheme="majorHAnsi"/>
        </w:rPr>
        <w:t>pour l’ensemble des caractères mesurés à Agadir et à Avignon (mis à part le pH des fruits qui varie peu d’un génotype à l’autre). De même, une importante variabilité phénotypique de la plasticité des différents caractères (mesurée par le ratio delta_Var = (Var_DH – Var_T)/Var_T) a été constatée</w:t>
      </w:r>
      <w:r w:rsidR="0002616E">
        <w:rPr>
          <w:rFonts w:asciiTheme="majorHAnsi" w:hAnsiTheme="majorHAnsi"/>
        </w:rPr>
        <w:t xml:space="preserve"> (Fig. 2)</w:t>
      </w:r>
      <w:r w:rsidRPr="00156D1C">
        <w:rPr>
          <w:rFonts w:asciiTheme="majorHAnsi" w:hAnsiTheme="majorHAnsi"/>
        </w:rPr>
        <w:t>. Des interactions G x T très fortement significatives (de l’ordre de 10</w:t>
      </w:r>
      <w:r w:rsidRPr="00156D1C">
        <w:rPr>
          <w:rFonts w:asciiTheme="majorHAnsi" w:hAnsiTheme="majorHAnsi"/>
          <w:position w:val="8"/>
          <w:sz w:val="19"/>
        </w:rPr>
        <w:t>-16</w:t>
      </w:r>
      <w:r w:rsidRPr="00156D1C">
        <w:rPr>
          <w:rFonts w:asciiTheme="majorHAnsi" w:hAnsiTheme="majorHAnsi"/>
        </w:rPr>
        <w:t xml:space="preserve">) ont été relevées pour la majorité des caractères étudiés, à l’exception du nombre de fruits et de fleurs et des concentrations en glucose, fructose, acide malique et acide citrique. Ces interactions reflétaient des changements de rangs entre les deux conditions d’irrigation, plus que des changements d’échelle (faibles corrélations DH / témoin). </w:t>
      </w:r>
    </w:p>
    <w:p w14:paraId="2FCC3E18" w14:textId="77777777" w:rsidR="00BF110B" w:rsidRPr="00156D1C" w:rsidRDefault="00BF110B">
      <w:pPr>
        <w:pStyle w:val="Corpsdetexte"/>
        <w:jc w:val="both"/>
        <w:rPr>
          <w:rFonts w:asciiTheme="majorHAnsi" w:hAnsiTheme="majorHAnsi"/>
        </w:rPr>
      </w:pPr>
      <w:r w:rsidRPr="00156D1C">
        <w:rPr>
          <w:rFonts w:asciiTheme="majorHAnsi" w:hAnsiTheme="majorHAnsi"/>
        </w:rPr>
        <w:t> </w:t>
      </w:r>
    </w:p>
    <w:p w14:paraId="4976DCFC" w14:textId="77777777" w:rsidR="00BF110B" w:rsidRPr="00156D1C" w:rsidRDefault="00C71A8D">
      <w:pPr>
        <w:pStyle w:val="Corpsdetexte"/>
        <w:shd w:val="clear" w:color="auto" w:fill="FFFFFF"/>
        <w:spacing w:line="312" w:lineRule="atLeast"/>
        <w:jc w:val="center"/>
        <w:rPr>
          <w:rFonts w:asciiTheme="majorHAnsi" w:hAnsiTheme="majorHAnsi"/>
          <w:b/>
          <w:sz w:val="20"/>
        </w:rPr>
      </w:pPr>
      <w:r w:rsidRPr="00156D1C">
        <w:rPr>
          <w:rFonts w:asciiTheme="majorHAnsi" w:hAnsiTheme="majorHAnsi"/>
          <w:noProof/>
          <w:lang w:eastAsia="fr-FR" w:bidi="ar-SA"/>
        </w:rPr>
        <w:lastRenderedPageBreak/>
        <w:drawing>
          <wp:inline distT="0" distB="0" distL="0" distR="0" wp14:anchorId="06E8A72A" wp14:editId="26619C40">
            <wp:extent cx="3949700" cy="3187700"/>
            <wp:effectExtent l="0" t="0" r="12700" b="12700"/>
            <wp:docPr id="3" name="Image 3" descr="file:///Users/mcausse/Library/Caches/TemporaryItems/msoclip/0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Users/mcausse/Library/Caches/TemporaryItems/msoclip/0clip_image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3187700"/>
                    </a:xfrm>
                    <a:prstGeom prst="rect">
                      <a:avLst/>
                    </a:prstGeom>
                    <a:noFill/>
                    <a:ln>
                      <a:noFill/>
                    </a:ln>
                  </pic:spPr>
                </pic:pic>
              </a:graphicData>
            </a:graphic>
          </wp:inline>
        </w:drawing>
      </w:r>
    </w:p>
    <w:p w14:paraId="70088736" w14:textId="77777777" w:rsidR="00BF110B" w:rsidRPr="00156D1C" w:rsidRDefault="00BF110B" w:rsidP="0002616E">
      <w:pPr>
        <w:pStyle w:val="Corpsdetexte"/>
        <w:rPr>
          <w:rFonts w:asciiTheme="majorHAnsi" w:hAnsiTheme="majorHAnsi"/>
          <w:sz w:val="20"/>
        </w:rPr>
      </w:pPr>
      <w:r w:rsidRPr="00156D1C">
        <w:rPr>
          <w:rFonts w:asciiTheme="majorHAnsi" w:hAnsiTheme="majorHAnsi"/>
          <w:b/>
          <w:sz w:val="20"/>
        </w:rPr>
        <w:t>Fig. 2</w:t>
      </w:r>
      <w:r w:rsidR="0002616E">
        <w:rPr>
          <w:rFonts w:asciiTheme="majorHAnsi" w:hAnsiTheme="majorHAnsi"/>
          <w:b/>
          <w:sz w:val="20"/>
        </w:rPr>
        <w:t xml:space="preserve">. </w:t>
      </w:r>
      <w:r w:rsidRPr="00156D1C">
        <w:rPr>
          <w:rFonts w:asciiTheme="majorHAnsi" w:hAnsiTheme="majorHAnsi"/>
          <w:sz w:val="20"/>
        </w:rPr>
        <w:t>Relation linéaire entre le poids du fruit (FW) en condition contrôle et la plasticité pour (</w:t>
      </w:r>
      <w:r w:rsidRPr="00156D1C">
        <w:rPr>
          <w:rFonts w:asciiTheme="majorHAnsi" w:hAnsiTheme="majorHAnsi"/>
          <w:b/>
          <w:sz w:val="20"/>
        </w:rPr>
        <w:t>a</w:t>
      </w:r>
      <w:r w:rsidRPr="00156D1C">
        <w:rPr>
          <w:rFonts w:asciiTheme="majorHAnsi" w:hAnsiTheme="majorHAnsi"/>
          <w:sz w:val="20"/>
        </w:rPr>
        <w:t>) le poids frais, (</w:t>
      </w:r>
      <w:r w:rsidRPr="00156D1C">
        <w:rPr>
          <w:rFonts w:asciiTheme="majorHAnsi" w:hAnsiTheme="majorHAnsi"/>
          <w:b/>
          <w:sz w:val="20"/>
        </w:rPr>
        <w:t>b</w:t>
      </w:r>
      <w:r w:rsidRPr="00156D1C">
        <w:rPr>
          <w:rFonts w:asciiTheme="majorHAnsi" w:hAnsiTheme="majorHAnsi"/>
          <w:sz w:val="20"/>
        </w:rPr>
        <w:t>) le nombre de fruits, (</w:t>
      </w:r>
      <w:r w:rsidRPr="00156D1C">
        <w:rPr>
          <w:rFonts w:asciiTheme="majorHAnsi" w:hAnsiTheme="majorHAnsi"/>
          <w:b/>
          <w:sz w:val="20"/>
        </w:rPr>
        <w:t>c</w:t>
      </w:r>
      <w:r w:rsidRPr="00156D1C">
        <w:rPr>
          <w:rFonts w:asciiTheme="majorHAnsi" w:hAnsiTheme="majorHAnsi"/>
          <w:sz w:val="20"/>
        </w:rPr>
        <w:t>) la teneur en vitamine C relative au poids frais (</w:t>
      </w:r>
      <w:r w:rsidRPr="00156D1C">
        <w:rPr>
          <w:rFonts w:asciiTheme="majorHAnsi" w:hAnsiTheme="majorHAnsi"/>
          <w:b/>
          <w:sz w:val="20"/>
        </w:rPr>
        <w:t>d</w:t>
      </w:r>
      <w:r w:rsidRPr="00156D1C">
        <w:rPr>
          <w:rFonts w:asciiTheme="majorHAnsi" w:hAnsiTheme="majorHAnsi"/>
          <w:sz w:val="20"/>
        </w:rPr>
        <w:t>) la teneur en vitamine C relative au poids sec. Les couleurs indiques la classe d’écovalence relative :</w:t>
      </w:r>
      <w:r w:rsidRPr="00156D1C">
        <w:rPr>
          <w:rFonts w:asciiTheme="majorHAnsi" w:hAnsiTheme="majorHAnsi"/>
          <w:i/>
          <w:sz w:val="20"/>
        </w:rPr>
        <w:t>bleu</w:t>
      </w:r>
      <w:r w:rsidRPr="00156D1C">
        <w:rPr>
          <w:rFonts w:asciiTheme="majorHAnsi" w:hAnsiTheme="majorHAnsi"/>
          <w:sz w:val="20"/>
        </w:rPr>
        <w:t> &lt;0.1, 0.1 &lt; </w:t>
      </w:r>
      <w:r w:rsidRPr="00156D1C">
        <w:rPr>
          <w:rFonts w:asciiTheme="majorHAnsi" w:hAnsiTheme="majorHAnsi"/>
          <w:i/>
          <w:sz w:val="20"/>
        </w:rPr>
        <w:t>cyan</w:t>
      </w:r>
      <w:r w:rsidRPr="00156D1C">
        <w:rPr>
          <w:rFonts w:asciiTheme="majorHAnsi" w:hAnsiTheme="majorHAnsi"/>
          <w:sz w:val="20"/>
        </w:rPr>
        <w:t> &lt; 0.5; 0 .5 &lt; </w:t>
      </w:r>
      <w:r w:rsidRPr="00156D1C">
        <w:rPr>
          <w:rFonts w:asciiTheme="majorHAnsi" w:hAnsiTheme="majorHAnsi"/>
          <w:i/>
          <w:sz w:val="20"/>
        </w:rPr>
        <w:t>noir</w:t>
      </w:r>
      <w:r w:rsidRPr="00156D1C">
        <w:rPr>
          <w:rFonts w:asciiTheme="majorHAnsi" w:hAnsiTheme="majorHAnsi"/>
          <w:sz w:val="20"/>
        </w:rPr>
        <w:t>&lt; 1; </w:t>
      </w:r>
      <w:r w:rsidRPr="00156D1C">
        <w:rPr>
          <w:rFonts w:asciiTheme="majorHAnsi" w:hAnsiTheme="majorHAnsi"/>
          <w:i/>
          <w:sz w:val="20"/>
        </w:rPr>
        <w:t>vert</w:t>
      </w:r>
      <w:r w:rsidRPr="00156D1C">
        <w:rPr>
          <w:rFonts w:asciiTheme="majorHAnsi" w:hAnsiTheme="majorHAnsi"/>
          <w:sz w:val="20"/>
        </w:rPr>
        <w:t xml:space="preserve">&gt;1. </w:t>
      </w:r>
    </w:p>
    <w:p w14:paraId="12381064" w14:textId="77777777" w:rsidR="00BF110B" w:rsidRPr="00156D1C" w:rsidRDefault="00BF110B" w:rsidP="00BF110B">
      <w:pPr>
        <w:pStyle w:val="Corpsdetexte"/>
        <w:spacing w:before="105" w:after="105"/>
        <w:rPr>
          <w:rFonts w:asciiTheme="majorHAnsi" w:hAnsiTheme="majorHAnsi"/>
        </w:rPr>
      </w:pPr>
      <w:r w:rsidRPr="00156D1C">
        <w:rPr>
          <w:rFonts w:asciiTheme="majorHAnsi" w:hAnsiTheme="majorHAnsi"/>
        </w:rPr>
        <w:t> </w:t>
      </w:r>
    </w:p>
    <w:p w14:paraId="0BD983DA" w14:textId="77777777" w:rsidR="00BF110B" w:rsidRPr="00156D1C" w:rsidRDefault="00BF110B">
      <w:pPr>
        <w:pStyle w:val="Corpsdetexte"/>
        <w:jc w:val="both"/>
        <w:rPr>
          <w:rFonts w:asciiTheme="majorHAnsi" w:hAnsiTheme="majorHAnsi"/>
        </w:rPr>
      </w:pPr>
      <w:r w:rsidRPr="00156D1C">
        <w:rPr>
          <w:rFonts w:asciiTheme="majorHAnsi" w:hAnsiTheme="majorHAnsi"/>
        </w:rPr>
        <w:t xml:space="preserve">Les corrélations entre les caractères étudiés varient entre les traitements hydriques (DH vs témoin). Une corrélation négative entre les dates de floraison et la teneur en matière sèche est observée en condition témoin. Cette corrélation est tirée par les génotypes à gros fruits qui présentent une floraison plus tardive et une teneur en matière sèche plus faible. En condition de DH, la corrélation date de floraison – teneur en matière sèche s’inverse du fait d’une forte diminution de la teneur en matière sèche chez les gros fruits sans changement de leur date de floraison. </w:t>
      </w:r>
    </w:p>
    <w:p w14:paraId="32A40C86" w14:textId="77777777" w:rsidR="00BF110B" w:rsidRPr="00156D1C" w:rsidRDefault="00BF110B">
      <w:pPr>
        <w:pStyle w:val="Corpsdetexte"/>
        <w:jc w:val="both"/>
        <w:rPr>
          <w:rFonts w:asciiTheme="majorHAnsi" w:hAnsiTheme="majorHAnsi"/>
        </w:rPr>
      </w:pPr>
      <w:r w:rsidRPr="00156D1C">
        <w:rPr>
          <w:rFonts w:asciiTheme="majorHAnsi" w:hAnsiTheme="majorHAnsi"/>
        </w:rPr>
        <w:t xml:space="preserve">Des héritabilités phénotypiques variant de 2 % (concentration en acide citrique g/100g MF condition témoin - Avignon) à 89% (teneur en matière sèche condition témoin - Avignon) ont été mesurées. De fortes corrélations des héritabilités et des variances génétiques entre DH et témoin sont observées (coefficients de corrélation de Pearson de 0.94 et 0.8 respectivement). </w:t>
      </w:r>
    </w:p>
    <w:p w14:paraId="5A8151B6" w14:textId="77777777" w:rsidR="00BF110B" w:rsidRPr="00156D1C" w:rsidRDefault="00BF110B">
      <w:pPr>
        <w:pStyle w:val="Corpsdetexte"/>
        <w:jc w:val="both"/>
        <w:rPr>
          <w:rFonts w:asciiTheme="majorHAnsi" w:hAnsiTheme="majorHAnsi"/>
        </w:rPr>
      </w:pPr>
      <w:r w:rsidRPr="00156D1C">
        <w:rPr>
          <w:rFonts w:asciiTheme="majorHAnsi" w:hAnsiTheme="majorHAnsi"/>
        </w:rPr>
        <w:t xml:space="preserve">Des moyennes génotypiques par condition d’irrigation et par essai ont été calculées et utilisées pour les détections QTL. </w:t>
      </w:r>
    </w:p>
    <w:p w14:paraId="2E289593" w14:textId="77777777" w:rsidR="00156D1C" w:rsidRPr="00156D1C" w:rsidRDefault="00156D1C">
      <w:pPr>
        <w:pStyle w:val="Corpsdetexte"/>
        <w:jc w:val="both"/>
        <w:rPr>
          <w:rFonts w:asciiTheme="majorHAnsi" w:hAnsiTheme="majorHAnsi"/>
        </w:rPr>
      </w:pPr>
    </w:p>
    <w:p w14:paraId="65FEF5CD" w14:textId="77777777" w:rsidR="00156D1C" w:rsidRPr="00156D1C" w:rsidRDefault="00156D1C" w:rsidP="00156D1C">
      <w:pPr>
        <w:pStyle w:val="Corpsdetexte"/>
        <w:rPr>
          <w:rFonts w:asciiTheme="majorHAnsi" w:hAnsiTheme="majorHAnsi"/>
        </w:rPr>
      </w:pPr>
      <w:r w:rsidRPr="00156D1C">
        <w:rPr>
          <w:rFonts w:asciiTheme="majorHAnsi" w:hAnsiTheme="majorHAnsi"/>
        </w:rPr>
        <w:t></w:t>
      </w:r>
      <w:r w:rsidRPr="00156D1C">
        <w:rPr>
          <w:rFonts w:asciiTheme="majorHAnsi" w:hAnsiTheme="majorHAnsi"/>
          <w:b/>
        </w:rPr>
        <w:t xml:space="preserve">Détection </w:t>
      </w:r>
      <w:r w:rsidR="0002616E">
        <w:rPr>
          <w:rFonts w:asciiTheme="majorHAnsi" w:hAnsiTheme="majorHAnsi"/>
          <w:b/>
        </w:rPr>
        <w:t xml:space="preserve">de </w:t>
      </w:r>
      <w:r w:rsidRPr="00156D1C">
        <w:rPr>
          <w:rFonts w:asciiTheme="majorHAnsi" w:hAnsiTheme="majorHAnsi"/>
          <w:b/>
        </w:rPr>
        <w:t>QTL de réponse au déficit hydrique</w:t>
      </w:r>
    </w:p>
    <w:p w14:paraId="0128ABAB" w14:textId="77777777" w:rsidR="00156D1C" w:rsidRPr="00156D1C" w:rsidRDefault="00156D1C" w:rsidP="00156D1C">
      <w:pPr>
        <w:pStyle w:val="Corpsdetexte"/>
        <w:jc w:val="both"/>
        <w:rPr>
          <w:rFonts w:asciiTheme="majorHAnsi" w:hAnsiTheme="majorHAnsi"/>
        </w:rPr>
      </w:pPr>
      <w:r w:rsidRPr="00156D1C">
        <w:rPr>
          <w:rFonts w:asciiTheme="majorHAnsi" w:hAnsiTheme="majorHAnsi"/>
        </w:rPr>
        <w:t xml:space="preserve">Afin de détecter des régions génomiques impliquées dans la réponse à un stress environnemental, deux méthodes sont fréquemment utilisées. La première consiste à détecter des QTL sur des variables composites mesurant le niveau de réponse au stress. Il peut s’agir de différence (stress – témoin) ou de ratio (stress/témoin) (pour exemple : Coupel-Ledru et al. 2014; Tétard-Jones, Kertesz, and Preziosi 2011). La deuxième méthode consiste à utiliser un modèle de détection </w:t>
      </w:r>
      <w:r w:rsidR="0002616E">
        <w:rPr>
          <w:rFonts w:asciiTheme="majorHAnsi" w:hAnsiTheme="majorHAnsi"/>
        </w:rPr>
        <w:t xml:space="preserve">de </w:t>
      </w:r>
      <w:r w:rsidRPr="00156D1C">
        <w:rPr>
          <w:rFonts w:asciiTheme="majorHAnsi" w:hAnsiTheme="majorHAnsi"/>
        </w:rPr>
        <w:t xml:space="preserve">QTL qui inclue une co-variable environnementale.  Plusieurs logiciels implémentant des modèles de ce type sont disponibles : GENSTAT (Malosetti et al. 2007), MultiQTL (http://carmel3.haifa.ac.il/index.php/2014-06-09-08-25-53/spinoff-companies/75-multiqtl-integrated-solutions-for-genome-mapping) et QTLNETWORK (Yang et al. 2008) par exemple. Ils permettent d’identifier des QTL stables dans les différents environnements (sur moyennes multi </w:t>
      </w:r>
      <w:r w:rsidRPr="00156D1C">
        <w:rPr>
          <w:rFonts w:asciiTheme="majorHAnsi" w:hAnsiTheme="majorHAnsi"/>
        </w:rPr>
        <w:lastRenderedPageBreak/>
        <w:t>environnements) et des QTL dont les effets varient entre les environnements.</w:t>
      </w:r>
    </w:p>
    <w:p w14:paraId="104E6BB5" w14:textId="77777777" w:rsidR="00156D1C" w:rsidRPr="00156D1C" w:rsidRDefault="00156D1C" w:rsidP="00156D1C">
      <w:pPr>
        <w:pStyle w:val="Corpsdetexte"/>
        <w:jc w:val="both"/>
        <w:rPr>
          <w:rFonts w:asciiTheme="majorHAnsi" w:hAnsiTheme="majorHAnsi"/>
        </w:rPr>
      </w:pPr>
      <w:r w:rsidRPr="00156D1C">
        <w:rPr>
          <w:rFonts w:asciiTheme="majorHAnsi" w:hAnsiTheme="majorHAnsi"/>
        </w:rPr>
        <w:t xml:space="preserve">Pour l’analyse génomique de la réponse au DH chez les 120 RIL, deux méthodes ont été choisies et implémentées en utilisant le logiciel QTLNETWORK (libre accès) : </w:t>
      </w:r>
    </w:p>
    <w:p w14:paraId="2B86B528" w14:textId="77777777" w:rsidR="00156D1C" w:rsidRPr="00156D1C" w:rsidRDefault="00156D1C" w:rsidP="00156D1C">
      <w:pPr>
        <w:pStyle w:val="Corpsdetexte"/>
        <w:jc w:val="both"/>
        <w:rPr>
          <w:rFonts w:asciiTheme="majorHAnsi" w:hAnsiTheme="majorHAnsi"/>
        </w:rPr>
      </w:pPr>
      <w:r w:rsidRPr="00156D1C">
        <w:rPr>
          <w:rFonts w:asciiTheme="majorHAnsi" w:hAnsiTheme="majorHAnsi"/>
        </w:rPr>
        <w:t xml:space="preserve">-une détection bi-environnement (DH vs témoin) </w:t>
      </w:r>
    </w:p>
    <w:p w14:paraId="69E07990" w14:textId="77777777" w:rsidR="00156D1C" w:rsidRPr="00156D1C" w:rsidRDefault="00156D1C" w:rsidP="00156D1C">
      <w:pPr>
        <w:pStyle w:val="Corpsdetexte"/>
        <w:jc w:val="both"/>
        <w:rPr>
          <w:rFonts w:asciiTheme="majorHAnsi" w:hAnsiTheme="majorHAnsi"/>
        </w:rPr>
      </w:pPr>
      <w:r w:rsidRPr="00156D1C">
        <w:rPr>
          <w:rFonts w:asciiTheme="majorHAnsi" w:hAnsiTheme="majorHAnsi"/>
        </w:rPr>
        <w:t>- une détection mono-environnement sur le delta des variables phénotypiques (delta = [DH-T]/T).</w:t>
      </w:r>
    </w:p>
    <w:p w14:paraId="63A46A15" w14:textId="77777777" w:rsidR="00156D1C" w:rsidRPr="00156D1C" w:rsidRDefault="0002616E">
      <w:pPr>
        <w:pStyle w:val="Corpsdetexte"/>
        <w:jc w:val="both"/>
        <w:rPr>
          <w:rFonts w:asciiTheme="majorHAnsi" w:hAnsiTheme="majorHAnsi"/>
        </w:rPr>
      </w:pPr>
      <w:r>
        <w:rPr>
          <w:rFonts w:asciiTheme="majorHAnsi" w:hAnsiTheme="majorHAnsi"/>
        </w:rPr>
        <w:t>De nombreux QTL ont été détectés (Fig. 3).</w:t>
      </w:r>
    </w:p>
    <w:p w14:paraId="358684D7" w14:textId="77777777" w:rsidR="00BF110B" w:rsidRPr="00156D1C" w:rsidRDefault="00C71A8D">
      <w:pPr>
        <w:pStyle w:val="Corpsdetexte"/>
        <w:shd w:val="clear" w:color="auto" w:fill="FFFFFF"/>
        <w:spacing w:line="312" w:lineRule="atLeast"/>
        <w:jc w:val="center"/>
        <w:rPr>
          <w:rFonts w:asciiTheme="majorHAnsi" w:hAnsiTheme="majorHAnsi"/>
          <w:b/>
          <w:sz w:val="20"/>
        </w:rPr>
      </w:pPr>
      <w:r w:rsidRPr="00156D1C">
        <w:rPr>
          <w:rFonts w:asciiTheme="majorHAnsi" w:hAnsiTheme="majorHAnsi"/>
          <w:noProof/>
          <w:lang w:eastAsia="fr-FR" w:bidi="ar-SA"/>
        </w:rPr>
        <w:drawing>
          <wp:inline distT="0" distB="0" distL="0" distR="0" wp14:anchorId="09B3FA40" wp14:editId="5894292A">
            <wp:extent cx="6096000" cy="5880100"/>
            <wp:effectExtent l="0" t="0" r="0" b="12700"/>
            <wp:docPr id="5" name="Image 5" descr="file:///Users/mcausse/Library/Caches/TemporaryItems/msoclip/0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Users/mcausse/Library/Caches/TemporaryItems/msoclip/0clip_image0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5880100"/>
                    </a:xfrm>
                    <a:prstGeom prst="rect">
                      <a:avLst/>
                    </a:prstGeom>
                    <a:noFill/>
                    <a:ln>
                      <a:noFill/>
                    </a:ln>
                  </pic:spPr>
                </pic:pic>
              </a:graphicData>
            </a:graphic>
          </wp:inline>
        </w:drawing>
      </w:r>
    </w:p>
    <w:p w14:paraId="04A30473" w14:textId="77777777" w:rsidR="00156D1C" w:rsidRPr="00156D1C" w:rsidRDefault="00BF110B" w:rsidP="00156D1C">
      <w:pPr>
        <w:pStyle w:val="Corpsdetexte"/>
        <w:rPr>
          <w:rFonts w:asciiTheme="majorHAnsi" w:hAnsiTheme="majorHAnsi"/>
          <w:sz w:val="20"/>
        </w:rPr>
      </w:pPr>
      <w:r w:rsidRPr="00156D1C">
        <w:rPr>
          <w:rFonts w:asciiTheme="majorHAnsi" w:hAnsiTheme="majorHAnsi"/>
          <w:b/>
          <w:sz w:val="20"/>
        </w:rPr>
        <w:t>Fig. </w:t>
      </w:r>
      <w:r w:rsidR="0002616E">
        <w:rPr>
          <w:rFonts w:asciiTheme="majorHAnsi" w:hAnsiTheme="majorHAnsi"/>
          <w:b/>
          <w:sz w:val="20"/>
        </w:rPr>
        <w:t xml:space="preserve">3. </w:t>
      </w:r>
      <w:r w:rsidRPr="00156D1C">
        <w:rPr>
          <w:rFonts w:asciiTheme="majorHAnsi" w:hAnsiTheme="majorHAnsi"/>
          <w:sz w:val="20"/>
        </w:rPr>
        <w:t xml:space="preserve">Synthèse des QTL détectés dans les RILs sur les mesures sur plante et fruit à Avignon et Agadir. </w:t>
      </w:r>
      <w:r w:rsidR="00156D1C" w:rsidRPr="00156D1C">
        <w:rPr>
          <w:rFonts w:asciiTheme="majorHAnsi" w:hAnsiTheme="majorHAnsi"/>
          <w:sz w:val="20"/>
        </w:rPr>
        <w:t xml:space="preserve">Les positions sur les chromosomes sont indiquées en Mbp. Les régions centromériques peu recombinantes sont indiquées en gris </w:t>
      </w:r>
      <w:r w:rsidRPr="00156D1C">
        <w:rPr>
          <w:rFonts w:asciiTheme="majorHAnsi" w:hAnsiTheme="majorHAnsi"/>
          <w:sz w:val="20"/>
        </w:rPr>
        <w:t>(</w:t>
      </w:r>
      <w:r w:rsidR="00156D1C" w:rsidRPr="00156D1C">
        <w:rPr>
          <w:rFonts w:asciiTheme="majorHAnsi" w:hAnsiTheme="majorHAnsi"/>
          <w:sz w:val="20"/>
        </w:rPr>
        <w:t>suivant</w:t>
      </w:r>
      <w:r w:rsidRPr="00156D1C">
        <w:rPr>
          <w:rFonts w:asciiTheme="majorHAnsi" w:hAnsiTheme="majorHAnsi"/>
          <w:sz w:val="20"/>
        </w:rPr>
        <w:t xml:space="preserve"> Sim et al. </w:t>
      </w:r>
      <w:hyperlink r:id="rId11" w:anchor="CR106" w:history="1">
        <w:r w:rsidRPr="00156D1C">
          <w:rPr>
            <w:rStyle w:val="Lienhypertexte"/>
            <w:rFonts w:asciiTheme="majorHAnsi" w:hAnsiTheme="majorHAnsi"/>
            <w:color w:val="417DB9"/>
            <w:sz w:val="20"/>
          </w:rPr>
          <w:t>2012</w:t>
        </w:r>
      </w:hyperlink>
      <w:r w:rsidRPr="00156D1C">
        <w:rPr>
          <w:rFonts w:asciiTheme="majorHAnsi" w:hAnsiTheme="majorHAnsi"/>
          <w:sz w:val="20"/>
        </w:rPr>
        <w:t xml:space="preserve">). </w:t>
      </w:r>
      <w:r w:rsidR="00156D1C" w:rsidRPr="00156D1C">
        <w:rPr>
          <w:rFonts w:asciiTheme="majorHAnsi" w:hAnsiTheme="majorHAnsi"/>
          <w:sz w:val="20"/>
        </w:rPr>
        <w:t xml:space="preserve">Les </w:t>
      </w:r>
      <w:r w:rsidRPr="00156D1C">
        <w:rPr>
          <w:rFonts w:asciiTheme="majorHAnsi" w:hAnsiTheme="majorHAnsi"/>
          <w:sz w:val="20"/>
        </w:rPr>
        <w:t xml:space="preserve">QTL </w:t>
      </w:r>
      <w:r w:rsidR="00156D1C" w:rsidRPr="00156D1C">
        <w:rPr>
          <w:rFonts w:asciiTheme="majorHAnsi" w:hAnsiTheme="majorHAnsi"/>
          <w:sz w:val="20"/>
        </w:rPr>
        <w:t>sont</w:t>
      </w:r>
      <w:r w:rsidRPr="00156D1C">
        <w:rPr>
          <w:rFonts w:asciiTheme="majorHAnsi" w:hAnsiTheme="majorHAnsi"/>
          <w:sz w:val="20"/>
        </w:rPr>
        <w:t xml:space="preserve"> </w:t>
      </w:r>
      <w:r w:rsidR="00156D1C" w:rsidRPr="00156D1C">
        <w:rPr>
          <w:rFonts w:asciiTheme="majorHAnsi" w:hAnsiTheme="majorHAnsi"/>
          <w:sz w:val="20"/>
        </w:rPr>
        <w:t>représentés</w:t>
      </w:r>
      <w:r w:rsidRPr="00156D1C">
        <w:rPr>
          <w:rFonts w:asciiTheme="majorHAnsi" w:hAnsiTheme="majorHAnsi"/>
          <w:sz w:val="20"/>
        </w:rPr>
        <w:t xml:space="preserve"> </w:t>
      </w:r>
      <w:r w:rsidR="00156D1C" w:rsidRPr="00156D1C">
        <w:rPr>
          <w:rFonts w:asciiTheme="majorHAnsi" w:hAnsiTheme="majorHAnsi"/>
          <w:sz w:val="20"/>
        </w:rPr>
        <w:t xml:space="preserve">suivant leur type : en </w:t>
      </w:r>
      <w:r w:rsidR="00156D1C" w:rsidRPr="00156D1C">
        <w:rPr>
          <w:rFonts w:asciiTheme="majorHAnsi" w:hAnsiTheme="majorHAnsi"/>
          <w:i/>
          <w:sz w:val="20"/>
        </w:rPr>
        <w:t>orange</w:t>
      </w:r>
      <w:r w:rsidR="00156D1C" w:rsidRPr="00156D1C">
        <w:rPr>
          <w:rFonts w:asciiTheme="majorHAnsi" w:hAnsiTheme="majorHAnsi"/>
          <w:sz w:val="20"/>
        </w:rPr>
        <w:t>,</w:t>
      </w:r>
      <w:r w:rsidRPr="00156D1C">
        <w:rPr>
          <w:rFonts w:asciiTheme="majorHAnsi" w:hAnsiTheme="majorHAnsi"/>
          <w:sz w:val="20"/>
        </w:rPr>
        <w:t xml:space="preserve"> </w:t>
      </w:r>
      <w:r w:rsidR="00156D1C" w:rsidRPr="00156D1C">
        <w:rPr>
          <w:rFonts w:asciiTheme="majorHAnsi" w:hAnsiTheme="majorHAnsi"/>
          <w:sz w:val="20"/>
        </w:rPr>
        <w:t xml:space="preserve">QTL </w:t>
      </w:r>
      <w:r w:rsidRPr="00156D1C">
        <w:rPr>
          <w:rFonts w:asciiTheme="majorHAnsi" w:hAnsiTheme="majorHAnsi"/>
          <w:sz w:val="20"/>
        </w:rPr>
        <w:t>constituti</w:t>
      </w:r>
      <w:r w:rsidR="00156D1C" w:rsidRPr="00156D1C">
        <w:rPr>
          <w:rFonts w:asciiTheme="majorHAnsi" w:hAnsiTheme="majorHAnsi"/>
          <w:sz w:val="20"/>
        </w:rPr>
        <w:t>fs (commu</w:t>
      </w:r>
      <w:r w:rsidRPr="00156D1C">
        <w:rPr>
          <w:rFonts w:asciiTheme="majorHAnsi" w:hAnsiTheme="majorHAnsi"/>
          <w:sz w:val="20"/>
        </w:rPr>
        <w:t xml:space="preserve">ns </w:t>
      </w:r>
      <w:r w:rsidR="00156D1C" w:rsidRPr="00156D1C">
        <w:rPr>
          <w:rFonts w:asciiTheme="majorHAnsi" w:hAnsiTheme="majorHAnsi"/>
          <w:sz w:val="20"/>
        </w:rPr>
        <w:t>aux conditions</w:t>
      </w:r>
      <w:r w:rsidRPr="00156D1C">
        <w:rPr>
          <w:rFonts w:asciiTheme="majorHAnsi" w:hAnsiTheme="majorHAnsi"/>
          <w:sz w:val="20"/>
        </w:rPr>
        <w:t xml:space="preserve"> </w:t>
      </w:r>
      <w:r w:rsidR="00156D1C" w:rsidRPr="00156D1C">
        <w:rPr>
          <w:rFonts w:asciiTheme="majorHAnsi" w:hAnsiTheme="majorHAnsi"/>
          <w:sz w:val="20"/>
        </w:rPr>
        <w:t>contrôle et SH</w:t>
      </w:r>
      <w:r w:rsidRPr="00156D1C">
        <w:rPr>
          <w:rFonts w:asciiTheme="majorHAnsi" w:hAnsiTheme="majorHAnsi"/>
          <w:sz w:val="20"/>
        </w:rPr>
        <w:t xml:space="preserve">); </w:t>
      </w:r>
      <w:r w:rsidR="00156D1C" w:rsidRPr="00156D1C">
        <w:rPr>
          <w:rFonts w:asciiTheme="majorHAnsi" w:hAnsiTheme="majorHAnsi"/>
          <w:sz w:val="20"/>
        </w:rPr>
        <w:t xml:space="preserve">en bleu, </w:t>
      </w:r>
      <w:r w:rsidRPr="00156D1C">
        <w:rPr>
          <w:rFonts w:asciiTheme="majorHAnsi" w:hAnsiTheme="majorHAnsi"/>
          <w:sz w:val="20"/>
        </w:rPr>
        <w:t>detect</w:t>
      </w:r>
      <w:r w:rsidR="00156D1C" w:rsidRPr="00156D1C">
        <w:rPr>
          <w:rFonts w:asciiTheme="majorHAnsi" w:hAnsiTheme="majorHAnsi"/>
          <w:sz w:val="20"/>
        </w:rPr>
        <w:t>és</w:t>
      </w:r>
      <w:r w:rsidRPr="00156D1C">
        <w:rPr>
          <w:rFonts w:asciiTheme="majorHAnsi" w:hAnsiTheme="majorHAnsi"/>
          <w:sz w:val="20"/>
        </w:rPr>
        <w:t xml:space="preserve"> </w:t>
      </w:r>
      <w:r w:rsidR="00156D1C" w:rsidRPr="00156D1C">
        <w:rPr>
          <w:rFonts w:asciiTheme="majorHAnsi" w:hAnsiTheme="majorHAnsi"/>
          <w:sz w:val="20"/>
        </w:rPr>
        <w:t>seulement en</w:t>
      </w:r>
      <w:r w:rsidRPr="00156D1C">
        <w:rPr>
          <w:rFonts w:asciiTheme="majorHAnsi" w:hAnsiTheme="majorHAnsi"/>
          <w:sz w:val="20"/>
        </w:rPr>
        <w:t xml:space="preserve"> </w:t>
      </w:r>
      <w:r w:rsidR="00156D1C" w:rsidRPr="00156D1C">
        <w:rPr>
          <w:rFonts w:asciiTheme="majorHAnsi" w:hAnsiTheme="majorHAnsi"/>
          <w:sz w:val="20"/>
        </w:rPr>
        <w:t>condition contrôle</w:t>
      </w:r>
      <w:r w:rsidRPr="00156D1C">
        <w:rPr>
          <w:rFonts w:asciiTheme="majorHAnsi" w:hAnsiTheme="majorHAnsi"/>
          <w:sz w:val="20"/>
        </w:rPr>
        <w:t xml:space="preserve">; </w:t>
      </w:r>
      <w:r w:rsidR="00156D1C" w:rsidRPr="00156D1C">
        <w:rPr>
          <w:rFonts w:asciiTheme="majorHAnsi" w:hAnsiTheme="majorHAnsi"/>
          <w:sz w:val="20"/>
        </w:rPr>
        <w:t>en rouge, detectés seulement en condition de stress</w:t>
      </w:r>
      <w:r w:rsidRPr="00156D1C">
        <w:rPr>
          <w:rFonts w:asciiTheme="majorHAnsi" w:hAnsiTheme="majorHAnsi"/>
          <w:sz w:val="20"/>
        </w:rPr>
        <w:t xml:space="preserve">; </w:t>
      </w:r>
      <w:r w:rsidR="00156D1C" w:rsidRPr="00156D1C">
        <w:rPr>
          <w:rFonts w:asciiTheme="majorHAnsi" w:hAnsiTheme="majorHAnsi"/>
          <w:sz w:val="20"/>
        </w:rPr>
        <w:t>en violet, QTL interactifs</w:t>
      </w:r>
      <w:r w:rsidRPr="00156D1C">
        <w:rPr>
          <w:rFonts w:asciiTheme="majorHAnsi" w:hAnsiTheme="majorHAnsi"/>
          <w:sz w:val="20"/>
        </w:rPr>
        <w:t xml:space="preserve">. </w:t>
      </w:r>
    </w:p>
    <w:p w14:paraId="7CEE692B" w14:textId="77777777" w:rsidR="006652DF" w:rsidRPr="00156D1C" w:rsidRDefault="006652DF" w:rsidP="006652DF">
      <w:pPr>
        <w:pStyle w:val="Titre3"/>
        <w:rPr>
          <w:rFonts w:asciiTheme="majorHAnsi" w:hAnsiTheme="majorHAnsi"/>
          <w:sz w:val="22"/>
        </w:rPr>
      </w:pPr>
      <w:r w:rsidRPr="00156D1C">
        <w:rPr>
          <w:rFonts w:asciiTheme="majorHAnsi" w:hAnsiTheme="majorHAnsi"/>
        </w:rPr>
        <w:t>Recherche de gènes candidats</w:t>
      </w:r>
    </w:p>
    <w:p w14:paraId="61459C11" w14:textId="77777777" w:rsidR="006652DF" w:rsidRPr="00156D1C" w:rsidRDefault="006652DF" w:rsidP="006652DF">
      <w:pPr>
        <w:pStyle w:val="Corpsdetexte"/>
        <w:spacing w:after="200"/>
        <w:ind w:right="140"/>
        <w:jc w:val="both"/>
        <w:rPr>
          <w:rFonts w:asciiTheme="majorHAnsi" w:hAnsiTheme="majorHAnsi"/>
        </w:rPr>
      </w:pPr>
      <w:r w:rsidRPr="00156D1C">
        <w:rPr>
          <w:rFonts w:asciiTheme="majorHAnsi" w:hAnsiTheme="majorHAnsi"/>
          <w:sz w:val="22"/>
        </w:rPr>
        <w:t>Sur la base de la bibliographie, une liste de gènes/fonctions susceptibles d’intervenir dans la réponse au stress hydrique a été établie. La liste a été complétée par une analyse de transcriptomique des gènes différentiellement exprimés chez les 2 lignées parentales suivant le régime hydrique</w:t>
      </w:r>
      <w:r>
        <w:rPr>
          <w:rFonts w:asciiTheme="majorHAnsi" w:hAnsiTheme="majorHAnsi"/>
          <w:sz w:val="22"/>
        </w:rPr>
        <w:t xml:space="preserve"> (Fig. 4)</w:t>
      </w:r>
      <w:r w:rsidRPr="00156D1C">
        <w:rPr>
          <w:rFonts w:asciiTheme="majorHAnsi" w:hAnsiTheme="majorHAnsi"/>
          <w:sz w:val="22"/>
        </w:rPr>
        <w:t xml:space="preserve">. </w:t>
      </w:r>
    </w:p>
    <w:p w14:paraId="46812559" w14:textId="77777777" w:rsidR="006652DF" w:rsidRPr="00156D1C" w:rsidRDefault="006652DF" w:rsidP="006652DF">
      <w:pPr>
        <w:pStyle w:val="Corpsdetexte"/>
        <w:shd w:val="clear" w:color="auto" w:fill="FFFFFF"/>
        <w:spacing w:line="312" w:lineRule="atLeast"/>
        <w:jc w:val="center"/>
        <w:rPr>
          <w:rFonts w:asciiTheme="majorHAnsi" w:hAnsiTheme="majorHAnsi"/>
          <w:b/>
          <w:sz w:val="20"/>
        </w:rPr>
      </w:pPr>
      <w:r w:rsidRPr="00156D1C">
        <w:rPr>
          <w:rFonts w:asciiTheme="majorHAnsi" w:hAnsiTheme="majorHAnsi"/>
          <w:noProof/>
          <w:lang w:eastAsia="fr-FR" w:bidi="ar-SA"/>
        </w:rPr>
        <w:lastRenderedPageBreak/>
        <w:drawing>
          <wp:inline distT="0" distB="0" distL="0" distR="0" wp14:anchorId="46FC07C6" wp14:editId="4DC316C3">
            <wp:extent cx="3263900" cy="1765300"/>
            <wp:effectExtent l="0" t="0" r="12700" b="12700"/>
            <wp:docPr id="6" name="Image 6" descr="file:///Users/mcausse/Library/Caches/TemporaryItems/msoclip/0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Users/mcausse/Library/Caches/TemporaryItems/msoclip/0clip_image01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0" cy="1765300"/>
                    </a:xfrm>
                    <a:prstGeom prst="rect">
                      <a:avLst/>
                    </a:prstGeom>
                    <a:noFill/>
                    <a:ln>
                      <a:noFill/>
                    </a:ln>
                  </pic:spPr>
                </pic:pic>
              </a:graphicData>
            </a:graphic>
          </wp:inline>
        </w:drawing>
      </w:r>
    </w:p>
    <w:p w14:paraId="638293C2" w14:textId="77777777" w:rsidR="006652DF" w:rsidRPr="00761CB3" w:rsidRDefault="006652DF" w:rsidP="006652DF">
      <w:pPr>
        <w:pStyle w:val="Corpsdetexte"/>
        <w:rPr>
          <w:rFonts w:asciiTheme="majorHAnsi" w:hAnsiTheme="majorHAnsi"/>
          <w:sz w:val="22"/>
          <w:lang w:val="en-US"/>
        </w:rPr>
      </w:pPr>
      <w:r w:rsidRPr="00761CB3">
        <w:rPr>
          <w:rFonts w:asciiTheme="majorHAnsi" w:hAnsiTheme="majorHAnsi"/>
          <w:b/>
          <w:sz w:val="20"/>
          <w:lang w:val="en-US"/>
        </w:rPr>
        <w:t>Fig. </w:t>
      </w:r>
      <w:r>
        <w:rPr>
          <w:rFonts w:asciiTheme="majorHAnsi" w:hAnsiTheme="majorHAnsi"/>
          <w:b/>
          <w:sz w:val="20"/>
          <w:lang w:val="en-US"/>
        </w:rPr>
        <w:t xml:space="preserve">4 </w:t>
      </w:r>
      <w:r w:rsidRPr="00761CB3">
        <w:rPr>
          <w:rFonts w:asciiTheme="majorHAnsi" w:hAnsiTheme="majorHAnsi"/>
          <w:sz w:val="20"/>
          <w:lang w:val="en-US"/>
        </w:rPr>
        <w:t>Venn diagram of differentially expressed genes between watering regimes in Cervil and/or Levovil. Genes were considered as being differentially expressed when the Bonferroni-adjusted </w:t>
      </w:r>
      <w:r w:rsidRPr="00761CB3">
        <w:rPr>
          <w:rFonts w:asciiTheme="majorHAnsi" w:hAnsiTheme="majorHAnsi"/>
          <w:i/>
          <w:sz w:val="20"/>
          <w:lang w:val="en-US"/>
        </w:rPr>
        <w:t>P</w:t>
      </w:r>
      <w:r w:rsidRPr="00761CB3">
        <w:rPr>
          <w:rFonts w:asciiTheme="majorHAnsi" w:hAnsiTheme="majorHAnsi"/>
          <w:sz w:val="20"/>
          <w:lang w:val="en-US"/>
        </w:rPr>
        <w:t> value was below 0.05.</w:t>
      </w:r>
      <w:r w:rsidRPr="00761CB3">
        <w:rPr>
          <w:rFonts w:asciiTheme="majorHAnsi" w:hAnsiTheme="majorHAnsi"/>
          <w:i/>
          <w:sz w:val="20"/>
          <w:lang w:val="en-US"/>
        </w:rPr>
        <w:t>Blue</w:t>
      </w:r>
      <w:r w:rsidRPr="00761CB3">
        <w:rPr>
          <w:rFonts w:asciiTheme="majorHAnsi" w:hAnsiTheme="majorHAnsi"/>
          <w:sz w:val="20"/>
          <w:lang w:val="en-US"/>
        </w:rPr>
        <w:t> and </w:t>
      </w:r>
      <w:r w:rsidRPr="00761CB3">
        <w:rPr>
          <w:rFonts w:asciiTheme="majorHAnsi" w:hAnsiTheme="majorHAnsi"/>
          <w:i/>
          <w:sz w:val="20"/>
          <w:lang w:val="en-US"/>
        </w:rPr>
        <w:t>red colors</w:t>
      </w:r>
      <w:r w:rsidRPr="00761CB3">
        <w:rPr>
          <w:rFonts w:asciiTheme="majorHAnsi" w:hAnsiTheme="majorHAnsi"/>
          <w:sz w:val="20"/>
          <w:lang w:val="en-US"/>
        </w:rPr>
        <w:t> indicate gene differentially expressed in Levovil and Cervil, respectively. </w:t>
      </w:r>
      <w:r w:rsidRPr="00761CB3">
        <w:rPr>
          <w:rFonts w:asciiTheme="majorHAnsi" w:hAnsiTheme="majorHAnsi"/>
          <w:i/>
          <w:sz w:val="20"/>
          <w:lang w:val="en-US"/>
        </w:rPr>
        <w:t>Up</w:t>
      </w:r>
      <w:r w:rsidRPr="00761CB3">
        <w:rPr>
          <w:rFonts w:asciiTheme="majorHAnsi" w:hAnsiTheme="majorHAnsi"/>
          <w:sz w:val="20"/>
          <w:lang w:val="en-US"/>
        </w:rPr>
        <w:t> and </w:t>
      </w:r>
      <w:r w:rsidRPr="00761CB3">
        <w:rPr>
          <w:rFonts w:asciiTheme="majorHAnsi" w:hAnsiTheme="majorHAnsi"/>
          <w:i/>
          <w:sz w:val="20"/>
          <w:lang w:val="en-US"/>
        </w:rPr>
        <w:t>down arrows</w:t>
      </w:r>
      <w:r w:rsidRPr="00761CB3">
        <w:rPr>
          <w:rFonts w:asciiTheme="majorHAnsi" w:hAnsiTheme="majorHAnsi"/>
          <w:sz w:val="20"/>
          <w:lang w:val="en-US"/>
        </w:rPr>
        <w:t> show genes up and down regulated under water deficit, respectively</w:t>
      </w:r>
    </w:p>
    <w:p w14:paraId="21D10F56" w14:textId="77777777" w:rsidR="00CA2AE6" w:rsidRDefault="00CA2AE6" w:rsidP="006652DF">
      <w:pPr>
        <w:pStyle w:val="Corpsdetexte"/>
        <w:spacing w:after="200"/>
        <w:ind w:right="140"/>
        <w:jc w:val="both"/>
        <w:rPr>
          <w:rFonts w:asciiTheme="majorHAnsi" w:hAnsiTheme="majorHAnsi"/>
          <w:sz w:val="22"/>
        </w:rPr>
      </w:pPr>
    </w:p>
    <w:p w14:paraId="236B5DCF" w14:textId="77777777" w:rsidR="006652DF" w:rsidRPr="00156D1C" w:rsidRDefault="006652DF" w:rsidP="006652DF">
      <w:pPr>
        <w:pStyle w:val="Corpsdetexte"/>
        <w:spacing w:after="200"/>
        <w:ind w:right="140"/>
        <w:jc w:val="both"/>
        <w:rPr>
          <w:rFonts w:asciiTheme="majorHAnsi" w:hAnsiTheme="majorHAnsi"/>
        </w:rPr>
      </w:pPr>
      <w:r w:rsidRPr="00156D1C">
        <w:rPr>
          <w:rFonts w:asciiTheme="majorHAnsi" w:hAnsiTheme="majorHAnsi"/>
          <w:sz w:val="22"/>
        </w:rPr>
        <w:t xml:space="preserve">Ceux-ci ont été localisés </w:t>
      </w:r>
      <w:r w:rsidRPr="00156D1C">
        <w:rPr>
          <w:rFonts w:asciiTheme="majorHAnsi" w:hAnsiTheme="majorHAnsi"/>
          <w:i/>
          <w:sz w:val="22"/>
        </w:rPr>
        <w:t>in silico</w:t>
      </w:r>
      <w:r w:rsidRPr="00156D1C">
        <w:rPr>
          <w:rFonts w:asciiTheme="majorHAnsi" w:hAnsiTheme="majorHAnsi"/>
          <w:sz w:val="22"/>
        </w:rPr>
        <w:t xml:space="preserve"> sur le génome et leur localisation comparée à celle des QTL et associations observées. Dans les régions présentant des QTL/associations et un nombre limité de gènes, des gènes candidats ont été recherchés et leur diversité étudiée. On dispose du reséquencage des génomes des 2 lignées parentales Cervil et Levovil, ce qui facilite l’étude de SNP ciblés. </w:t>
      </w:r>
    </w:p>
    <w:p w14:paraId="68FA89FD" w14:textId="77777777" w:rsidR="00BF110B" w:rsidRPr="00156D1C" w:rsidRDefault="006652DF" w:rsidP="006652DF">
      <w:pPr>
        <w:pStyle w:val="Corpsdetexte"/>
        <w:spacing w:after="200"/>
        <w:ind w:right="140"/>
        <w:jc w:val="both"/>
        <w:rPr>
          <w:rFonts w:asciiTheme="majorHAnsi" w:hAnsiTheme="majorHAnsi"/>
        </w:rPr>
      </w:pPr>
      <w:r w:rsidRPr="00156D1C">
        <w:rPr>
          <w:rFonts w:asciiTheme="majorHAnsi" w:hAnsiTheme="majorHAnsi"/>
        </w:rPr>
        <w:t> </w:t>
      </w:r>
      <w:r w:rsidRPr="00156D1C">
        <w:rPr>
          <w:rFonts w:asciiTheme="majorHAnsi" w:hAnsiTheme="majorHAnsi"/>
          <w:sz w:val="22"/>
        </w:rPr>
        <w:t>La validation de ces polymorphismes ne pouvait se faire dans le temps du projet.</w:t>
      </w:r>
    </w:p>
    <w:p w14:paraId="6E8CAD29" w14:textId="77777777" w:rsidR="00BF110B" w:rsidRPr="00156D1C" w:rsidRDefault="00BF110B">
      <w:pPr>
        <w:pStyle w:val="Corpsdetexte"/>
        <w:spacing w:after="240"/>
        <w:ind w:left="284" w:hanging="284"/>
        <w:rPr>
          <w:rFonts w:asciiTheme="majorHAnsi" w:hAnsiTheme="majorHAnsi"/>
        </w:rPr>
      </w:pPr>
      <w:r w:rsidRPr="00156D1C">
        <w:rPr>
          <w:rFonts w:asciiTheme="majorHAnsi" w:hAnsiTheme="majorHAnsi"/>
        </w:rPr>
        <w:t xml:space="preserve">L’ensemble des résultats ont été publiés dans: </w:t>
      </w:r>
      <w:r w:rsidRPr="00761CB3">
        <w:rPr>
          <w:rFonts w:asciiTheme="majorHAnsi" w:hAnsiTheme="majorHAnsi"/>
          <w:color w:val="000000"/>
        </w:rPr>
        <w:t xml:space="preserve">Albert E, Gricourt J, Bertin N, Bonnefoi J, Pateyron S, Tamby JP, Bitton F, Causse M. 2016. </w:t>
      </w:r>
      <w:r w:rsidRPr="00156D1C">
        <w:rPr>
          <w:rFonts w:asciiTheme="majorHAnsi" w:hAnsiTheme="majorHAnsi"/>
          <w:color w:val="000000"/>
          <w:lang w:val="en"/>
        </w:rPr>
        <w:t xml:space="preserve">Genotype by watering regime interactions in cultivated tomato: lessons from linkage mapping and gene expression. </w:t>
      </w:r>
      <w:r w:rsidRPr="00761CB3">
        <w:rPr>
          <w:rFonts w:asciiTheme="majorHAnsi" w:hAnsiTheme="majorHAnsi"/>
          <w:color w:val="000000"/>
        </w:rPr>
        <w:t>Theor Appl Genet 129: 395-418</w:t>
      </w:r>
      <w:r w:rsidR="0002616E">
        <w:rPr>
          <w:rFonts w:asciiTheme="majorHAnsi" w:hAnsiTheme="majorHAnsi"/>
          <w:color w:val="000000"/>
        </w:rPr>
        <w:t>.</w:t>
      </w:r>
    </w:p>
    <w:p w14:paraId="25DC0092" w14:textId="77777777" w:rsidR="00BF110B" w:rsidRPr="00156D1C" w:rsidRDefault="00BF110B">
      <w:pPr>
        <w:pStyle w:val="Corpsdetexte"/>
        <w:jc w:val="both"/>
        <w:rPr>
          <w:rFonts w:asciiTheme="majorHAnsi" w:hAnsiTheme="majorHAnsi"/>
        </w:rPr>
      </w:pPr>
      <w:r w:rsidRPr="00156D1C">
        <w:rPr>
          <w:rFonts w:asciiTheme="majorHAnsi" w:hAnsiTheme="majorHAnsi"/>
        </w:rPr>
        <w:t> </w:t>
      </w:r>
    </w:p>
    <w:p w14:paraId="040EB27D" w14:textId="77777777" w:rsidR="00BF110B" w:rsidRPr="00B32AF9" w:rsidRDefault="00BF110B" w:rsidP="00B32AF9">
      <w:pPr>
        <w:pStyle w:val="Corpsdetexte"/>
        <w:pBdr>
          <w:top w:val="single" w:sz="4" w:space="1" w:color="auto"/>
          <w:left w:val="single" w:sz="4" w:space="4" w:color="auto"/>
          <w:bottom w:val="single" w:sz="4" w:space="1" w:color="auto"/>
          <w:right w:val="single" w:sz="4" w:space="4" w:color="auto"/>
        </w:pBdr>
        <w:jc w:val="both"/>
        <w:rPr>
          <w:rFonts w:asciiTheme="majorHAnsi" w:hAnsiTheme="majorHAnsi"/>
          <w:color w:val="1F497D" w:themeColor="text2"/>
          <w:sz w:val="28"/>
        </w:rPr>
      </w:pPr>
      <w:r w:rsidRPr="00B32AF9">
        <w:rPr>
          <w:rFonts w:asciiTheme="majorHAnsi" w:hAnsiTheme="majorHAnsi"/>
          <w:color w:val="1F497D" w:themeColor="text2"/>
          <w:sz w:val="28"/>
        </w:rPr>
        <w:t> </w:t>
      </w:r>
      <w:r w:rsidRPr="00B32AF9">
        <w:rPr>
          <w:rFonts w:asciiTheme="majorHAnsi" w:hAnsiTheme="majorHAnsi"/>
          <w:b/>
          <w:color w:val="1F497D" w:themeColor="text2"/>
        </w:rPr>
        <w:t>A2.  Phénotypage d’une collection d’accessions en conditions de stress hydrique et de non stress – Recherche d’associations gènes/phénotypes et recherche de co-localisations QTL/gènes de tolérance au stress hydrique et de qualité gustative et nutritionnelle</w:t>
      </w:r>
    </w:p>
    <w:p w14:paraId="42E229E5" w14:textId="77777777" w:rsidR="00BF110B" w:rsidRPr="00156D1C" w:rsidRDefault="00BF110B">
      <w:pPr>
        <w:pStyle w:val="Titre3"/>
        <w:rPr>
          <w:rFonts w:asciiTheme="majorHAnsi" w:hAnsiTheme="majorHAnsi"/>
          <w:sz w:val="22"/>
        </w:rPr>
      </w:pPr>
      <w:r w:rsidRPr="00156D1C">
        <w:rPr>
          <w:rFonts w:asciiTheme="majorHAnsi" w:hAnsiTheme="majorHAnsi"/>
        </w:rPr>
        <w:t xml:space="preserve">Objectifs </w:t>
      </w:r>
    </w:p>
    <w:p w14:paraId="796E10C7" w14:textId="77777777" w:rsidR="00BF110B" w:rsidRPr="00156D1C" w:rsidRDefault="00BF110B">
      <w:pPr>
        <w:pStyle w:val="Corpsdetexte"/>
        <w:spacing w:after="200"/>
        <w:ind w:right="140"/>
        <w:jc w:val="both"/>
        <w:rPr>
          <w:rFonts w:asciiTheme="majorHAnsi" w:hAnsiTheme="majorHAnsi"/>
        </w:rPr>
      </w:pPr>
      <w:r w:rsidRPr="00156D1C">
        <w:rPr>
          <w:rFonts w:asciiTheme="majorHAnsi" w:hAnsiTheme="majorHAnsi"/>
          <w:sz w:val="22"/>
        </w:rPr>
        <w:t>L’objectif de l’action A2 était d’établir une carte des gènes sensibles au stress hydrique et d’étudier leur co-localisation avec des QTL de traits de tolérance au stress identifiés dans la population de RIL (A1) et de rechercher de nouveaux QTL par génétique d’association</w:t>
      </w:r>
      <w:r w:rsidR="0002616E">
        <w:rPr>
          <w:rFonts w:asciiTheme="majorHAnsi" w:hAnsiTheme="majorHAnsi"/>
          <w:sz w:val="22"/>
        </w:rPr>
        <w:t xml:space="preserve"> (GWA)</w:t>
      </w:r>
      <w:r w:rsidRPr="00156D1C">
        <w:rPr>
          <w:rFonts w:asciiTheme="majorHAnsi" w:hAnsiTheme="majorHAnsi"/>
          <w:sz w:val="22"/>
        </w:rPr>
        <w:t>.</w:t>
      </w:r>
    </w:p>
    <w:p w14:paraId="0E86934A" w14:textId="77777777" w:rsidR="00BF110B" w:rsidRPr="00156D1C" w:rsidRDefault="00BF110B">
      <w:pPr>
        <w:pStyle w:val="Titre3"/>
        <w:rPr>
          <w:rFonts w:asciiTheme="majorHAnsi" w:hAnsiTheme="majorHAnsi"/>
          <w:sz w:val="22"/>
        </w:rPr>
      </w:pPr>
      <w:r w:rsidRPr="00156D1C">
        <w:rPr>
          <w:rFonts w:asciiTheme="majorHAnsi" w:hAnsiTheme="majorHAnsi"/>
        </w:rPr>
        <w:t xml:space="preserve">Expérimentations </w:t>
      </w:r>
    </w:p>
    <w:p w14:paraId="5BCD2E0F" w14:textId="77777777" w:rsidR="00BF110B" w:rsidRPr="00156D1C" w:rsidRDefault="00BF110B">
      <w:pPr>
        <w:pStyle w:val="Corpsdetexte"/>
        <w:spacing w:after="200"/>
        <w:ind w:right="140"/>
        <w:jc w:val="both"/>
        <w:rPr>
          <w:rFonts w:asciiTheme="majorHAnsi" w:hAnsiTheme="majorHAnsi"/>
        </w:rPr>
      </w:pPr>
      <w:r w:rsidRPr="00156D1C">
        <w:rPr>
          <w:rFonts w:asciiTheme="majorHAnsi" w:hAnsiTheme="majorHAnsi"/>
          <w:sz w:val="22"/>
        </w:rPr>
        <w:t>Une collection de 120 accessions qui compte essentiellement des tomates de type cerise a été phénotypée la seconde année, dans les mêmes conditions que la population de cartographie de QTL, au Maroc et à Avignon. Cette collection est déjà génotypée (7700 SNP) et phénotypée en condition non stressante. Des études préliminaires ont montré qu’elle est adaptée à la génétique d’association (Ranc et al, 2012). Des associations ont  été recherchées entre SNP et phénotypes (croissance, qualité, production) dans les 2 mêmes conditions que celles de A1.</w:t>
      </w:r>
    </w:p>
    <w:p w14:paraId="696CEDC8" w14:textId="77777777" w:rsidR="00BF110B" w:rsidRPr="00156D1C" w:rsidRDefault="00BF110B">
      <w:pPr>
        <w:pStyle w:val="Titre3"/>
        <w:rPr>
          <w:rFonts w:asciiTheme="majorHAnsi" w:hAnsiTheme="majorHAnsi"/>
        </w:rPr>
      </w:pPr>
      <w:r w:rsidRPr="00156D1C">
        <w:rPr>
          <w:rFonts w:asciiTheme="majorHAnsi" w:hAnsiTheme="majorHAnsi"/>
        </w:rPr>
        <w:t xml:space="preserve">Résultats </w:t>
      </w:r>
    </w:p>
    <w:p w14:paraId="12EB06EC" w14:textId="77777777" w:rsidR="00BF110B" w:rsidRPr="00156D1C" w:rsidRDefault="00BF110B">
      <w:pPr>
        <w:pStyle w:val="Corpsdetexte"/>
        <w:ind w:left="786" w:hanging="360"/>
        <w:jc w:val="both"/>
        <w:rPr>
          <w:rFonts w:asciiTheme="majorHAnsi" w:hAnsiTheme="majorHAnsi"/>
        </w:rPr>
      </w:pPr>
      <w:r w:rsidRPr="00156D1C">
        <w:rPr>
          <w:rFonts w:asciiTheme="majorHAnsi" w:hAnsiTheme="majorHAnsi"/>
          <w:b/>
        </w:rPr>
        <w:t>Collecte des données phénotypiques sur le panel d’association et premières analyses</w:t>
      </w:r>
    </w:p>
    <w:p w14:paraId="5D754979" w14:textId="77777777" w:rsidR="00BF110B" w:rsidRPr="00156D1C" w:rsidRDefault="00BF110B">
      <w:pPr>
        <w:pStyle w:val="Corpsdetexte"/>
        <w:jc w:val="both"/>
        <w:rPr>
          <w:rFonts w:asciiTheme="majorHAnsi" w:hAnsiTheme="majorHAnsi"/>
        </w:rPr>
      </w:pPr>
      <w:r w:rsidRPr="00156D1C">
        <w:rPr>
          <w:rFonts w:asciiTheme="majorHAnsi" w:hAnsiTheme="majorHAnsi"/>
        </w:rPr>
        <w:t xml:space="preserve">Durant l’été 2014, la population de tomate cerise destinée aux analyses de génétique d’association (2) a été phénotypée en serre à l’INRA d’Avignon. Un essai double a été mis en place, chaque </w:t>
      </w:r>
      <w:r w:rsidRPr="00156D1C">
        <w:rPr>
          <w:rFonts w:asciiTheme="majorHAnsi" w:hAnsiTheme="majorHAnsi"/>
        </w:rPr>
        <w:lastRenderedPageBreak/>
        <w:t>génotype étant étudiés en condition témoin et en condition de déficit hydrique (</w:t>
      </w:r>
      <w:r w:rsidR="0002616E">
        <w:rPr>
          <w:rFonts w:asciiTheme="majorHAnsi" w:hAnsiTheme="majorHAnsi"/>
        </w:rPr>
        <w:t xml:space="preserve">DH, </w:t>
      </w:r>
      <w:r w:rsidRPr="00156D1C">
        <w:rPr>
          <w:rFonts w:asciiTheme="majorHAnsi" w:hAnsiTheme="majorHAnsi"/>
        </w:rPr>
        <w:t>moins 50% des apports en eau). Un peu plus de 30 caractères phénotypiques ont été mesurées : vigueur des plantes (diamètre tige sous bouquets, hauteur des bouquets), phénologie (dates de floraison de la 1</w:t>
      </w:r>
      <w:r w:rsidRPr="00156D1C">
        <w:rPr>
          <w:rFonts w:asciiTheme="majorHAnsi" w:hAnsiTheme="majorHAnsi"/>
          <w:position w:val="8"/>
          <w:sz w:val="19"/>
        </w:rPr>
        <w:t>ere</w:t>
      </w:r>
      <w:r w:rsidRPr="00156D1C">
        <w:rPr>
          <w:rFonts w:asciiTheme="majorHAnsi" w:hAnsiTheme="majorHAnsi"/>
        </w:rPr>
        <w:t xml:space="preserve"> fleur d’un bouquet), rendement (nombre de fleurs, nombre de fruits), qualité physique (diamètre, poids frais, couleur) et biochimiques des fruits (pH, teneur en sucres solubles, teneur en matière sèche, teneurs en vitamine C, acide malique, acide citrique, glucose et fructose</w:t>
      </w:r>
      <w:r w:rsidR="0002616E">
        <w:rPr>
          <w:rFonts w:asciiTheme="majorHAnsi" w:hAnsiTheme="majorHAnsi"/>
        </w:rPr>
        <w:t>)</w:t>
      </w:r>
      <w:r w:rsidRPr="00156D1C">
        <w:rPr>
          <w:rFonts w:asciiTheme="majorHAnsi" w:hAnsiTheme="majorHAnsi"/>
        </w:rPr>
        <w:t xml:space="preserve">. </w:t>
      </w:r>
    </w:p>
    <w:p w14:paraId="77909A91" w14:textId="77777777" w:rsidR="00BF110B" w:rsidRPr="00156D1C" w:rsidRDefault="00BF110B">
      <w:pPr>
        <w:pStyle w:val="Corpsdetexte"/>
        <w:jc w:val="both"/>
        <w:rPr>
          <w:rFonts w:asciiTheme="majorHAnsi" w:hAnsiTheme="majorHAnsi"/>
        </w:rPr>
      </w:pPr>
      <w:r w:rsidRPr="00156D1C">
        <w:rPr>
          <w:rFonts w:asciiTheme="majorHAnsi" w:hAnsiTheme="majorHAnsi"/>
        </w:rPr>
        <w:t> </w:t>
      </w:r>
    </w:p>
    <w:p w14:paraId="0186B74C" w14:textId="77777777" w:rsidR="00D30485" w:rsidRDefault="00BF110B">
      <w:pPr>
        <w:pStyle w:val="Corpsdetexte"/>
        <w:jc w:val="both"/>
        <w:rPr>
          <w:rFonts w:asciiTheme="majorHAnsi" w:hAnsiTheme="majorHAnsi"/>
        </w:rPr>
      </w:pPr>
      <w:r w:rsidRPr="00156D1C">
        <w:rPr>
          <w:rFonts w:asciiTheme="majorHAnsi" w:hAnsiTheme="majorHAnsi"/>
        </w:rPr>
        <w:t>Des analyses de la structuration et d’apparentement du panel d’association ont été réalisées. Puiseurs méthodes ont été comparées afin d’obtenir une matrice de structuration de la population : analyse en coordonnées principales (PCoA), analyse discriminante des composantes principales (DAPC), « Multi Scaling Plot » (MSP), classification hiérarchique ascendante, méthode de kmeans et clustering à l’aide du logiciel ADMIXTURE. Les résultats des différentes méthodes étant très proches, les résultats de l’analyse en coordonnées principales ont été retenus pour poursuivre les analyses de génétique d’association</w:t>
      </w:r>
      <w:r w:rsidR="00BB7EC4">
        <w:rPr>
          <w:rFonts w:asciiTheme="majorHAnsi" w:hAnsiTheme="majorHAnsi"/>
        </w:rPr>
        <w:t xml:space="preserve"> (Fig. 5</w:t>
      </w:r>
      <w:r w:rsidR="0002616E">
        <w:rPr>
          <w:rFonts w:asciiTheme="majorHAnsi" w:hAnsiTheme="majorHAnsi"/>
        </w:rPr>
        <w:t>)</w:t>
      </w:r>
      <w:r w:rsidRPr="00156D1C">
        <w:rPr>
          <w:rFonts w:asciiTheme="majorHAnsi" w:hAnsiTheme="majorHAnsi"/>
        </w:rPr>
        <w:t xml:space="preserve">. Une matrice d’apparentement de Loiselle a été calculée à l’aide du logiciel SPAGEDI. </w:t>
      </w:r>
    </w:p>
    <w:p w14:paraId="28329396" w14:textId="77777777" w:rsidR="0002616E" w:rsidRPr="00156D1C" w:rsidRDefault="0002616E" w:rsidP="0002616E">
      <w:pPr>
        <w:pStyle w:val="Corpsdetexte"/>
        <w:jc w:val="both"/>
        <w:rPr>
          <w:rFonts w:asciiTheme="majorHAnsi" w:hAnsiTheme="majorHAnsi"/>
        </w:rPr>
      </w:pPr>
      <w:r w:rsidRPr="00156D1C">
        <w:rPr>
          <w:rFonts w:asciiTheme="majorHAnsi" w:hAnsiTheme="majorHAnsi"/>
        </w:rPr>
        <w:t>Dans le cadre du stage de Ma</w:t>
      </w:r>
      <w:r>
        <w:rPr>
          <w:rFonts w:asciiTheme="majorHAnsi" w:hAnsiTheme="majorHAnsi"/>
        </w:rPr>
        <w:t>s</w:t>
      </w:r>
      <w:r w:rsidRPr="00156D1C">
        <w:rPr>
          <w:rFonts w:asciiTheme="majorHAnsi" w:hAnsiTheme="majorHAnsi"/>
        </w:rPr>
        <w:t>te</w:t>
      </w:r>
      <w:r>
        <w:rPr>
          <w:rFonts w:asciiTheme="majorHAnsi" w:hAnsiTheme="majorHAnsi"/>
        </w:rPr>
        <w:t>r 2 de Romain Novaretti (Agrocam</w:t>
      </w:r>
      <w:r w:rsidRPr="00156D1C">
        <w:rPr>
          <w:rFonts w:asciiTheme="majorHAnsi" w:hAnsiTheme="majorHAnsi"/>
        </w:rPr>
        <w:t xml:space="preserve">pus Ouest - Rennes), de premières associations pour les caractères phénologiques mesurés à Avignon ont été mises en évidence à l’aide du logiciel TASSEL. Ces données ont été par la suite analysées </w:t>
      </w:r>
      <w:r>
        <w:rPr>
          <w:rFonts w:asciiTheme="majorHAnsi" w:hAnsiTheme="majorHAnsi"/>
        </w:rPr>
        <w:t xml:space="preserve">par Elise Albert </w:t>
      </w:r>
      <w:r w:rsidRPr="00156D1C">
        <w:rPr>
          <w:rFonts w:asciiTheme="majorHAnsi" w:hAnsiTheme="majorHAnsi"/>
        </w:rPr>
        <w:t>avec le</w:t>
      </w:r>
      <w:r>
        <w:rPr>
          <w:rFonts w:asciiTheme="majorHAnsi" w:hAnsiTheme="majorHAnsi"/>
        </w:rPr>
        <w:t>s</w:t>
      </w:r>
      <w:r w:rsidRPr="00156D1C">
        <w:rPr>
          <w:rFonts w:asciiTheme="majorHAnsi" w:hAnsiTheme="majorHAnsi"/>
        </w:rPr>
        <w:t xml:space="preserve"> package</w:t>
      </w:r>
      <w:r>
        <w:rPr>
          <w:rFonts w:asciiTheme="majorHAnsi" w:hAnsiTheme="majorHAnsi"/>
        </w:rPr>
        <w:t>s</w:t>
      </w:r>
      <w:r w:rsidRPr="00156D1C">
        <w:rPr>
          <w:rFonts w:asciiTheme="majorHAnsi" w:hAnsiTheme="majorHAnsi"/>
        </w:rPr>
        <w:t xml:space="preserve"> R MLMM et MTMM.</w:t>
      </w:r>
    </w:p>
    <w:p w14:paraId="3754A514" w14:textId="77777777" w:rsidR="00D30485" w:rsidRDefault="00D30485">
      <w:pPr>
        <w:pStyle w:val="Corpsdetexte"/>
        <w:jc w:val="both"/>
        <w:rPr>
          <w:rFonts w:asciiTheme="majorHAnsi" w:hAnsiTheme="majorHAnsi"/>
        </w:rPr>
      </w:pPr>
    </w:p>
    <w:p w14:paraId="454DCF76" w14:textId="77777777" w:rsidR="00D30485" w:rsidRDefault="00D30485">
      <w:pPr>
        <w:pStyle w:val="Corpsdetexte"/>
        <w:jc w:val="both"/>
        <w:rPr>
          <w:rFonts w:asciiTheme="majorHAnsi" w:hAnsiTheme="majorHAnsi"/>
        </w:rPr>
      </w:pPr>
      <w:r w:rsidRPr="00D30485">
        <w:rPr>
          <w:rFonts w:asciiTheme="majorHAnsi" w:hAnsiTheme="majorHAnsi"/>
          <w:noProof/>
          <w:lang w:eastAsia="fr-FR" w:bidi="ar-SA"/>
        </w:rPr>
        <w:drawing>
          <wp:inline distT="0" distB="0" distL="0" distR="0" wp14:anchorId="504D1CE4" wp14:editId="395A3FCE">
            <wp:extent cx="5972810" cy="2954020"/>
            <wp:effectExtent l="0" t="0" r="0" b="0"/>
            <wp:docPr id="7" name="Picture 2" descr="PCOA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COAplot1"/>
                    <pic:cNvPicPr>
                      <a:picLocks noChangeAspect="1" noChangeArrowheads="1"/>
                    </pic:cNvPicPr>
                  </pic:nvPicPr>
                  <pic:blipFill>
                    <a:blip r:embed="rId13" cstate="print"/>
                    <a:srcRect/>
                    <a:stretch>
                      <a:fillRect/>
                    </a:stretch>
                  </pic:blipFill>
                  <pic:spPr bwMode="auto">
                    <a:xfrm>
                      <a:off x="0" y="0"/>
                      <a:ext cx="5972810" cy="2954020"/>
                    </a:xfrm>
                    <a:prstGeom prst="rect">
                      <a:avLst/>
                    </a:prstGeom>
                    <a:noFill/>
                    <a:ln w="9525">
                      <a:noFill/>
                      <a:miter lim="800000"/>
                      <a:headEnd/>
                      <a:tailEnd/>
                    </a:ln>
                  </pic:spPr>
                </pic:pic>
              </a:graphicData>
            </a:graphic>
          </wp:inline>
        </w:drawing>
      </w:r>
    </w:p>
    <w:p w14:paraId="551CC645" w14:textId="77777777" w:rsidR="0002616E" w:rsidRDefault="006652DF" w:rsidP="0002616E">
      <w:pPr>
        <w:pStyle w:val="Corpsdetexte"/>
        <w:spacing w:after="200"/>
        <w:ind w:right="140"/>
        <w:jc w:val="both"/>
        <w:rPr>
          <w:rFonts w:asciiTheme="majorHAnsi" w:hAnsiTheme="majorHAnsi"/>
        </w:rPr>
      </w:pPr>
      <w:r>
        <w:rPr>
          <w:rFonts w:asciiTheme="majorHAnsi" w:hAnsiTheme="majorHAnsi"/>
        </w:rPr>
        <w:t>Fig. 5</w:t>
      </w:r>
      <w:r w:rsidR="0002616E">
        <w:rPr>
          <w:rFonts w:asciiTheme="majorHAnsi" w:hAnsiTheme="majorHAnsi"/>
        </w:rPr>
        <w:t xml:space="preserve">. Structuration de la collection de lignées étudiées en GWA. Trois groupes principaux sont identifiés. L’origine géographique des cerasiforme est peu structurant.  </w:t>
      </w:r>
      <w:r w:rsidR="00BF110B" w:rsidRPr="00156D1C">
        <w:rPr>
          <w:rFonts w:asciiTheme="majorHAnsi" w:hAnsiTheme="majorHAnsi"/>
        </w:rPr>
        <w:t> </w:t>
      </w:r>
    </w:p>
    <w:p w14:paraId="4BEF2E31" w14:textId="77777777" w:rsidR="0002616E" w:rsidRDefault="0002616E" w:rsidP="0002616E">
      <w:pPr>
        <w:pStyle w:val="Corpsdetexte"/>
        <w:spacing w:after="200"/>
        <w:ind w:right="140"/>
        <w:jc w:val="both"/>
        <w:rPr>
          <w:rFonts w:asciiTheme="majorHAnsi" w:hAnsiTheme="majorHAnsi"/>
        </w:rPr>
      </w:pPr>
    </w:p>
    <w:p w14:paraId="31CBE192" w14:textId="77777777" w:rsidR="0002616E" w:rsidRDefault="0002616E" w:rsidP="0002616E">
      <w:pPr>
        <w:pStyle w:val="Corpsdetexte"/>
        <w:spacing w:after="200"/>
        <w:ind w:right="140"/>
        <w:jc w:val="both"/>
        <w:rPr>
          <w:rFonts w:asciiTheme="majorHAnsi" w:hAnsiTheme="majorHAnsi"/>
        </w:rPr>
      </w:pPr>
      <w:r>
        <w:rPr>
          <w:rFonts w:asciiTheme="majorHAnsi" w:hAnsiTheme="majorHAnsi"/>
        </w:rPr>
        <w:t xml:space="preserve">Une grande diversité génétique est observée pour la plupart des traits, la condition (stress vs contrôle) ne représentant une grande part de la variation que pour les critères de diamètre des tiges </w:t>
      </w:r>
      <w:r w:rsidR="00BB7EC4">
        <w:rPr>
          <w:rFonts w:asciiTheme="majorHAnsi" w:hAnsiTheme="majorHAnsi"/>
        </w:rPr>
        <w:t>et longueur des feuilles (Fig. 6</w:t>
      </w:r>
      <w:r>
        <w:rPr>
          <w:rFonts w:asciiTheme="majorHAnsi" w:hAnsiTheme="majorHAnsi"/>
        </w:rPr>
        <w:t xml:space="preserve">). </w:t>
      </w:r>
    </w:p>
    <w:p w14:paraId="75997AB9" w14:textId="77777777" w:rsidR="00D30485" w:rsidRDefault="00D30485" w:rsidP="0002616E">
      <w:pPr>
        <w:pStyle w:val="Corpsdetexte"/>
        <w:spacing w:after="200"/>
        <w:ind w:right="140"/>
        <w:jc w:val="both"/>
        <w:rPr>
          <w:rFonts w:asciiTheme="majorHAnsi" w:hAnsiTheme="majorHAnsi"/>
          <w:sz w:val="22"/>
        </w:rPr>
      </w:pPr>
      <w:r w:rsidRPr="00D30485">
        <w:rPr>
          <w:rFonts w:asciiTheme="majorHAnsi" w:hAnsiTheme="majorHAnsi"/>
          <w:noProof/>
          <w:lang w:eastAsia="fr-FR" w:bidi="ar-SA"/>
        </w:rPr>
        <w:lastRenderedPageBreak/>
        <w:drawing>
          <wp:inline distT="0" distB="0" distL="0" distR="0" wp14:anchorId="564E87AB" wp14:editId="1DB7900D">
            <wp:extent cx="5972810" cy="2830195"/>
            <wp:effectExtent l="0" t="0" r="21590" b="1460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05FF80" w14:textId="77777777" w:rsidR="0002616E" w:rsidRDefault="00BB7EC4" w:rsidP="0002616E">
      <w:pPr>
        <w:pStyle w:val="Corpsdetexte"/>
        <w:spacing w:after="200"/>
        <w:ind w:right="140"/>
        <w:jc w:val="both"/>
        <w:rPr>
          <w:rFonts w:asciiTheme="majorHAnsi" w:hAnsiTheme="majorHAnsi"/>
          <w:sz w:val="22"/>
        </w:rPr>
      </w:pPr>
      <w:r>
        <w:rPr>
          <w:rFonts w:asciiTheme="majorHAnsi" w:hAnsiTheme="majorHAnsi"/>
          <w:sz w:val="22"/>
        </w:rPr>
        <w:t>Fig. 6</w:t>
      </w:r>
      <w:r w:rsidR="0002616E">
        <w:rPr>
          <w:rFonts w:asciiTheme="majorHAnsi" w:hAnsiTheme="majorHAnsi"/>
          <w:sz w:val="22"/>
        </w:rPr>
        <w:t xml:space="preserve">. Proportion des différents facteurs dans la somme des carrés des écarts : W condition stressée ou contrôle, Gr groupe génétique, G génotype. </w:t>
      </w:r>
    </w:p>
    <w:p w14:paraId="2D278161" w14:textId="77777777" w:rsidR="0002616E" w:rsidRDefault="0002616E" w:rsidP="0002616E">
      <w:pPr>
        <w:pStyle w:val="Corpsdetexte"/>
        <w:spacing w:after="200"/>
        <w:ind w:right="140"/>
        <w:jc w:val="both"/>
        <w:rPr>
          <w:rFonts w:asciiTheme="majorHAnsi" w:hAnsiTheme="majorHAnsi"/>
          <w:sz w:val="22"/>
        </w:rPr>
      </w:pPr>
      <w:r w:rsidRPr="0002616E">
        <w:rPr>
          <w:rFonts w:asciiTheme="majorHAnsi" w:hAnsiTheme="majorHAnsi"/>
          <w:sz w:val="22"/>
        </w:rPr>
        <w:t xml:space="preserve">La recherche d’associations a ensuite été réalisée avec les packages R MLMM (condition par condition et sur les variables de Delta) et MTMM (qui permet de mettre en évidence des associations présentant une interaction significative en Génotype et condition. </w:t>
      </w:r>
      <w:r w:rsidR="001049B5">
        <w:rPr>
          <w:rFonts w:asciiTheme="majorHAnsi" w:hAnsiTheme="majorHAnsi"/>
          <w:sz w:val="22"/>
        </w:rPr>
        <w:t>Le modèle prend</w:t>
      </w:r>
      <w:r w:rsidR="001049B5" w:rsidRPr="0002616E">
        <w:rPr>
          <w:rFonts w:asciiTheme="majorHAnsi" w:hAnsiTheme="majorHAnsi"/>
          <w:sz w:val="22"/>
        </w:rPr>
        <w:t xml:space="preserve"> en compte la structure (PCoA) et l’apparentement (K) entre les accessions</w:t>
      </w:r>
      <w:r w:rsidR="001049B5">
        <w:rPr>
          <w:rFonts w:asciiTheme="majorHAnsi" w:hAnsiTheme="majorHAnsi"/>
          <w:sz w:val="22"/>
        </w:rPr>
        <w:t xml:space="preserve">. Compte tenu du faible effectif, un </w:t>
      </w:r>
      <w:r w:rsidR="001049B5" w:rsidRPr="0002616E">
        <w:rPr>
          <w:rFonts w:asciiTheme="majorHAnsi" w:hAnsiTheme="majorHAnsi"/>
          <w:sz w:val="22"/>
        </w:rPr>
        <w:t xml:space="preserve"> seuil de 10-4 sur</w:t>
      </w:r>
      <w:r w:rsidR="001049B5">
        <w:rPr>
          <w:rFonts w:asciiTheme="majorHAnsi" w:hAnsiTheme="majorHAnsi"/>
          <w:sz w:val="22"/>
        </w:rPr>
        <w:t xml:space="preserve"> les </w:t>
      </w:r>
      <w:r w:rsidR="001049B5" w:rsidRPr="0002616E">
        <w:rPr>
          <w:rFonts w:asciiTheme="majorHAnsi" w:hAnsiTheme="majorHAnsi"/>
          <w:sz w:val="22"/>
        </w:rPr>
        <w:t xml:space="preserve">valeurs </w:t>
      </w:r>
      <w:r w:rsidR="001049B5">
        <w:rPr>
          <w:rFonts w:asciiTheme="majorHAnsi" w:hAnsiTheme="majorHAnsi"/>
          <w:sz w:val="22"/>
        </w:rPr>
        <w:t xml:space="preserve">de P </w:t>
      </w:r>
      <w:r w:rsidR="001049B5" w:rsidRPr="0002616E">
        <w:rPr>
          <w:rFonts w:asciiTheme="majorHAnsi" w:hAnsiTheme="majorHAnsi"/>
          <w:sz w:val="22"/>
        </w:rPr>
        <w:t xml:space="preserve">brutes </w:t>
      </w:r>
      <w:r w:rsidR="001049B5">
        <w:rPr>
          <w:rFonts w:asciiTheme="majorHAnsi" w:hAnsiTheme="majorHAnsi"/>
          <w:sz w:val="22"/>
        </w:rPr>
        <w:t xml:space="preserve">a été choisi </w:t>
      </w:r>
      <w:r w:rsidR="001049B5" w:rsidRPr="0002616E">
        <w:rPr>
          <w:rFonts w:asciiTheme="majorHAnsi" w:hAnsiTheme="majorHAnsi"/>
          <w:sz w:val="22"/>
        </w:rPr>
        <w:t>pour détecter les associations</w:t>
      </w:r>
      <w:r w:rsidR="001049B5">
        <w:rPr>
          <w:rFonts w:asciiTheme="majorHAnsi" w:hAnsiTheme="majorHAnsi"/>
          <w:sz w:val="22"/>
        </w:rPr>
        <w:t>.</w:t>
      </w:r>
      <w:r w:rsidR="001049B5" w:rsidRPr="0002616E">
        <w:rPr>
          <w:rFonts w:asciiTheme="majorHAnsi" w:hAnsiTheme="majorHAnsi"/>
          <w:sz w:val="22"/>
        </w:rPr>
        <w:t xml:space="preserve"> </w:t>
      </w:r>
      <w:r w:rsidR="006652DF">
        <w:rPr>
          <w:rFonts w:asciiTheme="majorHAnsi" w:hAnsiTheme="majorHAnsi"/>
          <w:sz w:val="22"/>
        </w:rPr>
        <w:t>182</w:t>
      </w:r>
      <w:r w:rsidRPr="0002616E">
        <w:rPr>
          <w:rFonts w:asciiTheme="majorHAnsi" w:hAnsiTheme="majorHAnsi"/>
          <w:sz w:val="22"/>
        </w:rPr>
        <w:t xml:space="preserve"> associations ont été détectées, se répartissant </w:t>
      </w:r>
      <w:r w:rsidR="006652DF">
        <w:rPr>
          <w:rFonts w:asciiTheme="majorHAnsi" w:hAnsiTheme="majorHAnsi"/>
          <w:sz w:val="22"/>
        </w:rPr>
        <w:t>en 9 associations interactives, 73</w:t>
      </w:r>
      <w:r w:rsidRPr="0002616E">
        <w:rPr>
          <w:rFonts w:asciiTheme="majorHAnsi" w:hAnsiTheme="majorHAnsi"/>
          <w:sz w:val="22"/>
        </w:rPr>
        <w:t xml:space="preserve"> associations stables</w:t>
      </w:r>
      <w:r w:rsidR="006652DF">
        <w:rPr>
          <w:rFonts w:asciiTheme="majorHAnsi" w:hAnsiTheme="majorHAnsi"/>
          <w:sz w:val="22"/>
        </w:rPr>
        <w:t xml:space="preserve"> dans les 2 conditions, 48 seulement détectées en contrôle et 36 détectées en DH.</w:t>
      </w:r>
      <w:r w:rsidRPr="0002616E">
        <w:rPr>
          <w:rFonts w:asciiTheme="majorHAnsi" w:hAnsiTheme="majorHAnsi"/>
          <w:sz w:val="22"/>
        </w:rPr>
        <w:t xml:space="preserve"> </w:t>
      </w:r>
      <w:r>
        <w:rPr>
          <w:rFonts w:asciiTheme="majorHAnsi" w:hAnsiTheme="majorHAnsi"/>
          <w:sz w:val="22"/>
        </w:rPr>
        <w:t xml:space="preserve">Parmi celles ci, </w:t>
      </w:r>
      <w:r w:rsidR="006652DF">
        <w:rPr>
          <w:rFonts w:asciiTheme="majorHAnsi" w:hAnsiTheme="majorHAnsi"/>
          <w:sz w:val="22"/>
        </w:rPr>
        <w:t>31</w:t>
      </w:r>
      <w:r w:rsidRPr="0002616E">
        <w:rPr>
          <w:rFonts w:asciiTheme="majorHAnsi" w:hAnsiTheme="majorHAnsi"/>
          <w:sz w:val="22"/>
        </w:rPr>
        <w:t xml:space="preserve"> associations </w:t>
      </w:r>
      <w:r>
        <w:rPr>
          <w:rFonts w:asciiTheme="majorHAnsi" w:hAnsiTheme="majorHAnsi"/>
          <w:sz w:val="22"/>
        </w:rPr>
        <w:t xml:space="preserve">apparaissent </w:t>
      </w:r>
      <w:r w:rsidRPr="0002616E">
        <w:rPr>
          <w:rFonts w:asciiTheme="majorHAnsi" w:hAnsiTheme="majorHAnsi"/>
          <w:sz w:val="22"/>
        </w:rPr>
        <w:t>« colocalisées » avec un QTL identifié dans la populati</w:t>
      </w:r>
      <w:r w:rsidR="006652DF">
        <w:rPr>
          <w:rFonts w:asciiTheme="majorHAnsi" w:hAnsiTheme="majorHAnsi"/>
          <w:sz w:val="22"/>
        </w:rPr>
        <w:t>on RIL pour le même trait</w:t>
      </w:r>
      <w:r>
        <w:rPr>
          <w:rFonts w:asciiTheme="majorHAnsi" w:hAnsiTheme="majorHAnsi"/>
          <w:sz w:val="22"/>
        </w:rPr>
        <w:t>. Les intervalles de confiance autour des associations ont été recherchées suva</w:t>
      </w:r>
      <w:r w:rsidR="001049B5">
        <w:rPr>
          <w:rFonts w:asciiTheme="majorHAnsi" w:hAnsiTheme="majorHAnsi"/>
          <w:sz w:val="22"/>
        </w:rPr>
        <w:t>nt la décroissance du DL et de 1</w:t>
      </w:r>
      <w:r>
        <w:rPr>
          <w:rFonts w:asciiTheme="majorHAnsi" w:hAnsiTheme="majorHAnsi"/>
          <w:sz w:val="22"/>
        </w:rPr>
        <w:t xml:space="preserve"> a </w:t>
      </w:r>
      <w:r w:rsidR="001049B5">
        <w:rPr>
          <w:rFonts w:asciiTheme="majorHAnsi" w:hAnsiTheme="majorHAnsi"/>
          <w:sz w:val="22"/>
        </w:rPr>
        <w:t>plus de 600</w:t>
      </w:r>
      <w:r>
        <w:rPr>
          <w:rFonts w:asciiTheme="majorHAnsi" w:hAnsiTheme="majorHAnsi"/>
          <w:sz w:val="22"/>
        </w:rPr>
        <w:t xml:space="preserve"> gène</w:t>
      </w:r>
      <w:r w:rsidR="001049B5">
        <w:rPr>
          <w:rFonts w:asciiTheme="majorHAnsi" w:hAnsiTheme="majorHAnsi"/>
          <w:sz w:val="22"/>
        </w:rPr>
        <w:t>s ont été listés sous les associations</w:t>
      </w:r>
      <w:r w:rsidR="006652DF">
        <w:rPr>
          <w:rFonts w:asciiTheme="majorHAnsi" w:hAnsiTheme="majorHAnsi"/>
          <w:sz w:val="22"/>
        </w:rPr>
        <w:t xml:space="preserve"> (Tableau 2)</w:t>
      </w:r>
      <w:r w:rsidR="001049B5">
        <w:rPr>
          <w:rFonts w:asciiTheme="majorHAnsi" w:hAnsiTheme="majorHAnsi"/>
          <w:sz w:val="22"/>
        </w:rPr>
        <w:t>.</w:t>
      </w:r>
    </w:p>
    <w:tbl>
      <w:tblPr>
        <w:tblW w:w="10690" w:type="dxa"/>
        <w:tblInd w:w="55" w:type="dxa"/>
        <w:tblLayout w:type="fixed"/>
        <w:tblCellMar>
          <w:left w:w="70" w:type="dxa"/>
          <w:right w:w="70" w:type="dxa"/>
        </w:tblCellMar>
        <w:tblLook w:val="04A0" w:firstRow="1" w:lastRow="0" w:firstColumn="1" w:lastColumn="0" w:noHBand="0" w:noVBand="1"/>
      </w:tblPr>
      <w:tblGrid>
        <w:gridCol w:w="1008"/>
        <w:gridCol w:w="567"/>
        <w:gridCol w:w="567"/>
        <w:gridCol w:w="567"/>
        <w:gridCol w:w="992"/>
        <w:gridCol w:w="200"/>
        <w:gridCol w:w="509"/>
        <w:gridCol w:w="851"/>
        <w:gridCol w:w="708"/>
        <w:gridCol w:w="160"/>
        <w:gridCol w:w="485"/>
        <w:gridCol w:w="851"/>
        <w:gridCol w:w="709"/>
        <w:gridCol w:w="160"/>
        <w:gridCol w:w="590"/>
        <w:gridCol w:w="567"/>
        <w:gridCol w:w="567"/>
        <w:gridCol w:w="632"/>
      </w:tblGrid>
      <w:tr w:rsidR="006652DF" w:rsidRPr="006652DF" w14:paraId="1B9A1F3A" w14:textId="77777777" w:rsidTr="006652DF">
        <w:trPr>
          <w:trHeight w:val="300"/>
        </w:trPr>
        <w:tc>
          <w:tcPr>
            <w:tcW w:w="1008" w:type="dxa"/>
            <w:tcBorders>
              <w:top w:val="single" w:sz="4" w:space="0" w:color="auto"/>
              <w:left w:val="nil"/>
              <w:bottom w:val="nil"/>
              <w:right w:val="nil"/>
            </w:tcBorders>
            <w:shd w:val="clear" w:color="000000" w:fill="FFFFFF"/>
            <w:noWrap/>
            <w:vAlign w:val="bottom"/>
            <w:hideMark/>
          </w:tcPr>
          <w:p w14:paraId="5F9B42B3"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xml:space="preserve">Trait </w:t>
            </w:r>
          </w:p>
        </w:tc>
        <w:tc>
          <w:tcPr>
            <w:tcW w:w="567" w:type="dxa"/>
            <w:tcBorders>
              <w:top w:val="single" w:sz="4" w:space="0" w:color="auto"/>
              <w:left w:val="nil"/>
              <w:bottom w:val="nil"/>
              <w:right w:val="nil"/>
            </w:tcBorders>
            <w:shd w:val="clear" w:color="000000" w:fill="FFFFFF"/>
            <w:vAlign w:val="bottom"/>
          </w:tcPr>
          <w:p w14:paraId="625AAC69"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p>
        </w:tc>
        <w:tc>
          <w:tcPr>
            <w:tcW w:w="2126" w:type="dxa"/>
            <w:gridSpan w:val="3"/>
            <w:tcBorders>
              <w:top w:val="single" w:sz="4" w:space="0" w:color="auto"/>
              <w:left w:val="nil"/>
              <w:bottom w:val="nil"/>
              <w:right w:val="nil"/>
            </w:tcBorders>
            <w:shd w:val="clear" w:color="000000" w:fill="FFFFFF"/>
            <w:noWrap/>
            <w:vAlign w:val="center"/>
            <w:hideMark/>
          </w:tcPr>
          <w:p w14:paraId="4B951AC0"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Constitutive</w:t>
            </w:r>
          </w:p>
        </w:tc>
        <w:tc>
          <w:tcPr>
            <w:tcW w:w="200" w:type="dxa"/>
            <w:tcBorders>
              <w:top w:val="single" w:sz="4" w:space="0" w:color="auto"/>
              <w:left w:val="nil"/>
              <w:bottom w:val="nil"/>
              <w:right w:val="nil"/>
            </w:tcBorders>
            <w:shd w:val="clear" w:color="000000" w:fill="FFFFFF"/>
            <w:noWrap/>
            <w:vAlign w:val="bottom"/>
            <w:hideMark/>
          </w:tcPr>
          <w:p w14:paraId="32301317"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4273" w:type="dxa"/>
            <w:gridSpan w:val="7"/>
            <w:tcBorders>
              <w:top w:val="single" w:sz="4" w:space="0" w:color="auto"/>
              <w:left w:val="nil"/>
              <w:bottom w:val="single" w:sz="4" w:space="0" w:color="auto"/>
              <w:right w:val="nil"/>
            </w:tcBorders>
            <w:shd w:val="clear" w:color="000000" w:fill="FFFFFF"/>
            <w:noWrap/>
            <w:vAlign w:val="bottom"/>
            <w:hideMark/>
          </w:tcPr>
          <w:p w14:paraId="79591CF0"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Specific</w:t>
            </w:r>
          </w:p>
        </w:tc>
        <w:tc>
          <w:tcPr>
            <w:tcW w:w="160" w:type="dxa"/>
            <w:tcBorders>
              <w:top w:val="single" w:sz="4" w:space="0" w:color="auto"/>
              <w:left w:val="nil"/>
              <w:bottom w:val="nil"/>
              <w:right w:val="nil"/>
            </w:tcBorders>
            <w:shd w:val="clear" w:color="000000" w:fill="FFFFFF"/>
            <w:noWrap/>
            <w:vAlign w:val="bottom"/>
            <w:hideMark/>
          </w:tcPr>
          <w:p w14:paraId="6AB81D3E"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2356" w:type="dxa"/>
            <w:gridSpan w:val="4"/>
            <w:tcBorders>
              <w:top w:val="single" w:sz="4" w:space="0" w:color="auto"/>
              <w:left w:val="nil"/>
              <w:bottom w:val="nil"/>
              <w:right w:val="nil"/>
            </w:tcBorders>
            <w:shd w:val="clear" w:color="000000" w:fill="FFFFFF"/>
            <w:noWrap/>
            <w:vAlign w:val="center"/>
            <w:hideMark/>
          </w:tcPr>
          <w:p w14:paraId="3446CFAE"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Interactive</w:t>
            </w:r>
          </w:p>
        </w:tc>
      </w:tr>
      <w:tr w:rsidR="006652DF" w:rsidRPr="006652DF" w14:paraId="07C14535" w14:textId="77777777" w:rsidTr="006652DF">
        <w:trPr>
          <w:trHeight w:val="300"/>
        </w:trPr>
        <w:tc>
          <w:tcPr>
            <w:tcW w:w="1008" w:type="dxa"/>
            <w:tcBorders>
              <w:top w:val="nil"/>
              <w:left w:val="nil"/>
              <w:bottom w:val="nil"/>
              <w:right w:val="nil"/>
            </w:tcBorders>
            <w:shd w:val="clear" w:color="000000" w:fill="FFFFFF"/>
            <w:noWrap/>
            <w:vAlign w:val="bottom"/>
            <w:hideMark/>
          </w:tcPr>
          <w:p w14:paraId="02ACC5D2"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67" w:type="dxa"/>
            <w:tcBorders>
              <w:top w:val="nil"/>
              <w:left w:val="nil"/>
              <w:bottom w:val="nil"/>
              <w:right w:val="nil"/>
            </w:tcBorders>
            <w:shd w:val="clear" w:color="000000" w:fill="FFFFFF"/>
            <w:noWrap/>
            <w:vAlign w:val="bottom"/>
          </w:tcPr>
          <w:p w14:paraId="392DC349"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p>
        </w:tc>
        <w:tc>
          <w:tcPr>
            <w:tcW w:w="567" w:type="dxa"/>
            <w:tcBorders>
              <w:top w:val="nil"/>
              <w:left w:val="nil"/>
              <w:bottom w:val="single" w:sz="4" w:space="0" w:color="auto"/>
              <w:right w:val="nil"/>
            </w:tcBorders>
            <w:shd w:val="clear" w:color="000000" w:fill="FFFFFF"/>
            <w:noWrap/>
            <w:vAlign w:val="center"/>
            <w:hideMark/>
          </w:tcPr>
          <w:p w14:paraId="2BA991A1"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67" w:type="dxa"/>
            <w:tcBorders>
              <w:top w:val="nil"/>
              <w:left w:val="nil"/>
              <w:bottom w:val="single" w:sz="4" w:space="0" w:color="auto"/>
              <w:right w:val="nil"/>
            </w:tcBorders>
            <w:shd w:val="clear" w:color="000000" w:fill="FFFFFF"/>
            <w:noWrap/>
            <w:vAlign w:val="center"/>
            <w:hideMark/>
          </w:tcPr>
          <w:p w14:paraId="23448A42"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992" w:type="dxa"/>
            <w:tcBorders>
              <w:top w:val="nil"/>
              <w:left w:val="nil"/>
              <w:bottom w:val="single" w:sz="4" w:space="0" w:color="auto"/>
              <w:right w:val="nil"/>
            </w:tcBorders>
            <w:shd w:val="clear" w:color="000000" w:fill="FFFFFF"/>
            <w:noWrap/>
            <w:vAlign w:val="center"/>
            <w:hideMark/>
          </w:tcPr>
          <w:p w14:paraId="1778C55E"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200" w:type="dxa"/>
            <w:tcBorders>
              <w:top w:val="nil"/>
              <w:left w:val="nil"/>
              <w:bottom w:val="nil"/>
              <w:right w:val="nil"/>
            </w:tcBorders>
            <w:shd w:val="clear" w:color="000000" w:fill="FFFFFF"/>
            <w:noWrap/>
            <w:vAlign w:val="bottom"/>
            <w:hideMark/>
          </w:tcPr>
          <w:p w14:paraId="0F387441"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2068" w:type="dxa"/>
            <w:gridSpan w:val="3"/>
            <w:tcBorders>
              <w:top w:val="nil"/>
              <w:left w:val="nil"/>
              <w:bottom w:val="single" w:sz="4" w:space="0" w:color="auto"/>
              <w:right w:val="nil"/>
            </w:tcBorders>
            <w:shd w:val="clear" w:color="000000" w:fill="FFFFFF"/>
            <w:noWrap/>
            <w:vAlign w:val="bottom"/>
            <w:hideMark/>
          </w:tcPr>
          <w:p w14:paraId="03D09192"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Control</w:t>
            </w:r>
          </w:p>
        </w:tc>
        <w:tc>
          <w:tcPr>
            <w:tcW w:w="160" w:type="dxa"/>
            <w:tcBorders>
              <w:top w:val="nil"/>
              <w:left w:val="nil"/>
              <w:bottom w:val="nil"/>
              <w:right w:val="nil"/>
            </w:tcBorders>
            <w:shd w:val="clear" w:color="000000" w:fill="FFFFFF"/>
            <w:noWrap/>
            <w:vAlign w:val="bottom"/>
            <w:hideMark/>
          </w:tcPr>
          <w:p w14:paraId="736D4B1A"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2045" w:type="dxa"/>
            <w:gridSpan w:val="3"/>
            <w:tcBorders>
              <w:top w:val="nil"/>
              <w:left w:val="nil"/>
              <w:bottom w:val="single" w:sz="4" w:space="0" w:color="auto"/>
              <w:right w:val="nil"/>
            </w:tcBorders>
            <w:shd w:val="clear" w:color="000000" w:fill="FFFFFF"/>
            <w:noWrap/>
            <w:vAlign w:val="bottom"/>
            <w:hideMark/>
          </w:tcPr>
          <w:p w14:paraId="42E72612"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Drought</w:t>
            </w:r>
          </w:p>
        </w:tc>
        <w:tc>
          <w:tcPr>
            <w:tcW w:w="160" w:type="dxa"/>
            <w:tcBorders>
              <w:top w:val="nil"/>
              <w:left w:val="nil"/>
              <w:bottom w:val="nil"/>
              <w:right w:val="nil"/>
            </w:tcBorders>
            <w:shd w:val="clear" w:color="000000" w:fill="FFFFFF"/>
            <w:noWrap/>
            <w:vAlign w:val="bottom"/>
            <w:hideMark/>
          </w:tcPr>
          <w:p w14:paraId="38AC63AC"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90" w:type="dxa"/>
            <w:tcBorders>
              <w:top w:val="nil"/>
              <w:left w:val="nil"/>
              <w:bottom w:val="single" w:sz="4" w:space="0" w:color="auto"/>
              <w:right w:val="nil"/>
            </w:tcBorders>
            <w:shd w:val="clear" w:color="000000" w:fill="FFFFFF"/>
            <w:noWrap/>
            <w:vAlign w:val="center"/>
            <w:hideMark/>
          </w:tcPr>
          <w:p w14:paraId="48787CE0"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67" w:type="dxa"/>
            <w:tcBorders>
              <w:top w:val="nil"/>
              <w:left w:val="nil"/>
              <w:bottom w:val="single" w:sz="4" w:space="0" w:color="auto"/>
              <w:right w:val="nil"/>
            </w:tcBorders>
            <w:shd w:val="clear" w:color="000000" w:fill="FFFFFF"/>
            <w:noWrap/>
            <w:vAlign w:val="center"/>
            <w:hideMark/>
          </w:tcPr>
          <w:p w14:paraId="515B6A7A"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67" w:type="dxa"/>
            <w:tcBorders>
              <w:top w:val="nil"/>
              <w:left w:val="nil"/>
              <w:bottom w:val="single" w:sz="4" w:space="0" w:color="auto"/>
              <w:right w:val="nil"/>
            </w:tcBorders>
            <w:shd w:val="clear" w:color="000000" w:fill="FFFFFF"/>
            <w:noWrap/>
            <w:vAlign w:val="center"/>
            <w:hideMark/>
          </w:tcPr>
          <w:p w14:paraId="3B10A0A3"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632" w:type="dxa"/>
            <w:tcBorders>
              <w:top w:val="nil"/>
              <w:left w:val="nil"/>
              <w:bottom w:val="single" w:sz="4" w:space="0" w:color="auto"/>
              <w:right w:val="nil"/>
            </w:tcBorders>
            <w:shd w:val="clear" w:color="000000" w:fill="FFFFFF"/>
            <w:noWrap/>
            <w:vAlign w:val="center"/>
            <w:hideMark/>
          </w:tcPr>
          <w:p w14:paraId="07EF70A6"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r>
      <w:tr w:rsidR="006652DF" w:rsidRPr="006652DF" w14:paraId="33691BC3" w14:textId="77777777" w:rsidTr="006652DF">
        <w:trPr>
          <w:trHeight w:val="840"/>
        </w:trPr>
        <w:tc>
          <w:tcPr>
            <w:tcW w:w="1008" w:type="dxa"/>
            <w:tcBorders>
              <w:top w:val="single" w:sz="4" w:space="0" w:color="auto"/>
              <w:left w:val="nil"/>
              <w:bottom w:val="nil"/>
              <w:right w:val="nil"/>
            </w:tcBorders>
            <w:shd w:val="clear" w:color="000000" w:fill="FFFFFF"/>
            <w:noWrap/>
            <w:vAlign w:val="bottom"/>
            <w:hideMark/>
          </w:tcPr>
          <w:p w14:paraId="1C88BEE0"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xml:space="preserve"> traits</w:t>
            </w:r>
          </w:p>
        </w:tc>
        <w:tc>
          <w:tcPr>
            <w:tcW w:w="567" w:type="dxa"/>
            <w:tcBorders>
              <w:top w:val="nil"/>
              <w:left w:val="nil"/>
              <w:bottom w:val="nil"/>
              <w:right w:val="nil"/>
            </w:tcBorders>
            <w:shd w:val="clear" w:color="000000" w:fill="FFFFFF"/>
            <w:noWrap/>
            <w:vAlign w:val="bottom"/>
            <w:hideMark/>
          </w:tcPr>
          <w:p w14:paraId="450F48D4"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Pr>
                <w:rFonts w:ascii="Calibri" w:eastAsia="Times New Roman" w:hAnsi="Calibri" w:cs="Times New Roman"/>
                <w:b/>
                <w:bCs/>
                <w:color w:val="000000"/>
                <w:kern w:val="0"/>
                <w:sz w:val="18"/>
                <w:szCs w:val="20"/>
                <w:lang w:eastAsia="fr-FR" w:bidi="ar-SA"/>
              </w:rPr>
              <w:t>Nb QTL total</w:t>
            </w:r>
            <w:r w:rsidRPr="006652DF">
              <w:rPr>
                <w:rFonts w:ascii="Calibri" w:eastAsia="Times New Roman" w:hAnsi="Calibri" w:cs="Times New Roman"/>
                <w:b/>
                <w:bCs/>
                <w:color w:val="000000"/>
                <w:kern w:val="0"/>
                <w:sz w:val="18"/>
                <w:szCs w:val="20"/>
                <w:lang w:eastAsia="fr-FR" w:bidi="ar-SA"/>
              </w:rPr>
              <w:t> </w:t>
            </w:r>
          </w:p>
        </w:tc>
        <w:tc>
          <w:tcPr>
            <w:tcW w:w="567" w:type="dxa"/>
            <w:tcBorders>
              <w:top w:val="nil"/>
              <w:left w:val="nil"/>
              <w:bottom w:val="nil"/>
              <w:right w:val="nil"/>
            </w:tcBorders>
            <w:shd w:val="clear" w:color="000000" w:fill="FFFFFF"/>
            <w:hideMark/>
          </w:tcPr>
          <w:p w14:paraId="7669C25B"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xml:space="preserve">Nb QTL </w:t>
            </w:r>
          </w:p>
        </w:tc>
        <w:tc>
          <w:tcPr>
            <w:tcW w:w="567" w:type="dxa"/>
            <w:tcBorders>
              <w:top w:val="nil"/>
              <w:left w:val="nil"/>
              <w:bottom w:val="nil"/>
              <w:right w:val="nil"/>
            </w:tcBorders>
            <w:shd w:val="clear" w:color="000000" w:fill="FFFFFF"/>
            <w:hideMark/>
          </w:tcPr>
          <w:p w14:paraId="525218FD"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LG</w:t>
            </w:r>
          </w:p>
        </w:tc>
        <w:tc>
          <w:tcPr>
            <w:tcW w:w="992" w:type="dxa"/>
            <w:tcBorders>
              <w:top w:val="nil"/>
              <w:left w:val="nil"/>
              <w:bottom w:val="nil"/>
              <w:right w:val="nil"/>
            </w:tcBorders>
            <w:shd w:val="clear" w:color="000000" w:fill="FFFFFF"/>
            <w:hideMark/>
          </w:tcPr>
          <w:p w14:paraId="32958C89"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Min - Max Nb genes</w:t>
            </w:r>
          </w:p>
        </w:tc>
        <w:tc>
          <w:tcPr>
            <w:tcW w:w="200" w:type="dxa"/>
            <w:tcBorders>
              <w:top w:val="nil"/>
              <w:left w:val="nil"/>
              <w:bottom w:val="nil"/>
              <w:right w:val="nil"/>
            </w:tcBorders>
            <w:shd w:val="clear" w:color="000000" w:fill="FFFFFF"/>
            <w:hideMark/>
          </w:tcPr>
          <w:p w14:paraId="2E3D2974"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09" w:type="dxa"/>
            <w:tcBorders>
              <w:top w:val="nil"/>
              <w:left w:val="nil"/>
              <w:bottom w:val="nil"/>
              <w:right w:val="nil"/>
            </w:tcBorders>
            <w:shd w:val="clear" w:color="000000" w:fill="FFFFFF"/>
            <w:hideMark/>
          </w:tcPr>
          <w:p w14:paraId="7B6C1E21"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Nb QTL</w:t>
            </w:r>
          </w:p>
        </w:tc>
        <w:tc>
          <w:tcPr>
            <w:tcW w:w="851" w:type="dxa"/>
            <w:tcBorders>
              <w:top w:val="nil"/>
              <w:left w:val="nil"/>
              <w:bottom w:val="nil"/>
              <w:right w:val="nil"/>
            </w:tcBorders>
            <w:shd w:val="clear" w:color="000000" w:fill="FFFFFF"/>
            <w:hideMark/>
          </w:tcPr>
          <w:p w14:paraId="7DCCD3C4"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LG</w:t>
            </w:r>
          </w:p>
        </w:tc>
        <w:tc>
          <w:tcPr>
            <w:tcW w:w="708" w:type="dxa"/>
            <w:tcBorders>
              <w:top w:val="nil"/>
              <w:left w:val="nil"/>
              <w:bottom w:val="nil"/>
              <w:right w:val="nil"/>
            </w:tcBorders>
            <w:shd w:val="clear" w:color="000000" w:fill="FFFFFF"/>
            <w:hideMark/>
          </w:tcPr>
          <w:p w14:paraId="35E5091B"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Min - Max Nb genes</w:t>
            </w:r>
          </w:p>
        </w:tc>
        <w:tc>
          <w:tcPr>
            <w:tcW w:w="160" w:type="dxa"/>
            <w:tcBorders>
              <w:top w:val="nil"/>
              <w:left w:val="nil"/>
              <w:bottom w:val="nil"/>
              <w:right w:val="nil"/>
            </w:tcBorders>
            <w:shd w:val="clear" w:color="000000" w:fill="FFFFFF"/>
            <w:hideMark/>
          </w:tcPr>
          <w:p w14:paraId="2E9B10E0"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485" w:type="dxa"/>
            <w:tcBorders>
              <w:top w:val="nil"/>
              <w:left w:val="nil"/>
              <w:bottom w:val="nil"/>
              <w:right w:val="nil"/>
            </w:tcBorders>
            <w:shd w:val="clear" w:color="000000" w:fill="FFFFFF"/>
            <w:hideMark/>
          </w:tcPr>
          <w:p w14:paraId="0DE32078"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Nb QTL</w:t>
            </w:r>
          </w:p>
        </w:tc>
        <w:tc>
          <w:tcPr>
            <w:tcW w:w="851" w:type="dxa"/>
            <w:tcBorders>
              <w:top w:val="nil"/>
              <w:left w:val="nil"/>
              <w:bottom w:val="nil"/>
              <w:right w:val="nil"/>
            </w:tcBorders>
            <w:shd w:val="clear" w:color="000000" w:fill="FFFFFF"/>
            <w:hideMark/>
          </w:tcPr>
          <w:p w14:paraId="5D614CD2"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LG</w:t>
            </w:r>
          </w:p>
        </w:tc>
        <w:tc>
          <w:tcPr>
            <w:tcW w:w="709" w:type="dxa"/>
            <w:tcBorders>
              <w:top w:val="nil"/>
              <w:left w:val="nil"/>
              <w:bottom w:val="nil"/>
              <w:right w:val="nil"/>
            </w:tcBorders>
            <w:shd w:val="clear" w:color="000000" w:fill="FFFFFF"/>
            <w:hideMark/>
          </w:tcPr>
          <w:p w14:paraId="78CCFB16"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Min - Max Nb genes</w:t>
            </w:r>
          </w:p>
        </w:tc>
        <w:tc>
          <w:tcPr>
            <w:tcW w:w="160" w:type="dxa"/>
            <w:tcBorders>
              <w:top w:val="nil"/>
              <w:left w:val="nil"/>
              <w:bottom w:val="nil"/>
              <w:right w:val="nil"/>
            </w:tcBorders>
            <w:shd w:val="clear" w:color="000000" w:fill="FFFFFF"/>
            <w:hideMark/>
          </w:tcPr>
          <w:p w14:paraId="6AC98349" w14:textId="77777777" w:rsidR="006652DF" w:rsidRPr="006652DF" w:rsidRDefault="006652DF" w:rsidP="006652DF">
            <w:pPr>
              <w:widowControl/>
              <w:suppressAutoHyphens w:val="0"/>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90" w:type="dxa"/>
            <w:tcBorders>
              <w:top w:val="nil"/>
              <w:left w:val="nil"/>
              <w:bottom w:val="nil"/>
              <w:right w:val="nil"/>
            </w:tcBorders>
            <w:shd w:val="clear" w:color="000000" w:fill="FFFFFF"/>
            <w:hideMark/>
          </w:tcPr>
          <w:p w14:paraId="4FBE70F1"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Nb antagonist</w:t>
            </w:r>
          </w:p>
        </w:tc>
        <w:tc>
          <w:tcPr>
            <w:tcW w:w="567" w:type="dxa"/>
            <w:tcBorders>
              <w:top w:val="nil"/>
              <w:left w:val="nil"/>
              <w:bottom w:val="nil"/>
              <w:right w:val="nil"/>
            </w:tcBorders>
            <w:shd w:val="clear" w:color="000000" w:fill="FFFFFF"/>
            <w:hideMark/>
          </w:tcPr>
          <w:p w14:paraId="57FFBD45"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Nb differential</w:t>
            </w:r>
          </w:p>
        </w:tc>
        <w:tc>
          <w:tcPr>
            <w:tcW w:w="567" w:type="dxa"/>
            <w:tcBorders>
              <w:top w:val="nil"/>
              <w:left w:val="nil"/>
              <w:bottom w:val="nil"/>
              <w:right w:val="nil"/>
            </w:tcBorders>
            <w:shd w:val="clear" w:color="000000" w:fill="FFFFFF"/>
            <w:hideMark/>
          </w:tcPr>
          <w:p w14:paraId="090CD33E"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LG</w:t>
            </w:r>
          </w:p>
        </w:tc>
        <w:tc>
          <w:tcPr>
            <w:tcW w:w="632" w:type="dxa"/>
            <w:tcBorders>
              <w:top w:val="nil"/>
              <w:left w:val="nil"/>
              <w:bottom w:val="nil"/>
              <w:right w:val="nil"/>
            </w:tcBorders>
            <w:shd w:val="clear" w:color="000000" w:fill="FFFFFF"/>
            <w:hideMark/>
          </w:tcPr>
          <w:p w14:paraId="4C109676"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Min - Max Nb genes</w:t>
            </w:r>
          </w:p>
        </w:tc>
      </w:tr>
      <w:tr w:rsidR="006652DF" w:rsidRPr="006652DF" w14:paraId="43E2FC30" w14:textId="77777777" w:rsidTr="006652DF">
        <w:trPr>
          <w:trHeight w:val="300"/>
        </w:trPr>
        <w:tc>
          <w:tcPr>
            <w:tcW w:w="1008" w:type="dxa"/>
            <w:tcBorders>
              <w:top w:val="single" w:sz="4" w:space="0" w:color="auto"/>
              <w:left w:val="nil"/>
              <w:bottom w:val="nil"/>
              <w:right w:val="nil"/>
            </w:tcBorders>
            <w:shd w:val="clear" w:color="000000" w:fill="FFFFFF"/>
            <w:noWrap/>
            <w:hideMark/>
          </w:tcPr>
          <w:p w14:paraId="625ADB15"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Flw.Avi</w:t>
            </w:r>
          </w:p>
        </w:tc>
        <w:tc>
          <w:tcPr>
            <w:tcW w:w="567" w:type="dxa"/>
            <w:tcBorders>
              <w:top w:val="single" w:sz="4" w:space="0" w:color="auto"/>
              <w:left w:val="nil"/>
              <w:bottom w:val="nil"/>
              <w:right w:val="nil"/>
            </w:tcBorders>
            <w:shd w:val="clear" w:color="000000" w:fill="FFFFFF"/>
            <w:noWrap/>
            <w:hideMark/>
          </w:tcPr>
          <w:p w14:paraId="5293AD4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567" w:type="dxa"/>
            <w:tcBorders>
              <w:top w:val="single" w:sz="4" w:space="0" w:color="auto"/>
              <w:left w:val="nil"/>
              <w:bottom w:val="nil"/>
              <w:right w:val="nil"/>
            </w:tcBorders>
            <w:shd w:val="clear" w:color="000000" w:fill="FFFFFF"/>
            <w:noWrap/>
            <w:hideMark/>
          </w:tcPr>
          <w:p w14:paraId="066ACE1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single" w:sz="4" w:space="0" w:color="auto"/>
              <w:left w:val="nil"/>
              <w:bottom w:val="nil"/>
              <w:right w:val="nil"/>
            </w:tcBorders>
            <w:shd w:val="clear" w:color="000000" w:fill="FFFFFF"/>
            <w:noWrap/>
            <w:hideMark/>
          </w:tcPr>
          <w:p w14:paraId="4A72022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12</w:t>
            </w:r>
          </w:p>
        </w:tc>
        <w:tc>
          <w:tcPr>
            <w:tcW w:w="992" w:type="dxa"/>
            <w:tcBorders>
              <w:top w:val="single" w:sz="4" w:space="0" w:color="auto"/>
              <w:left w:val="nil"/>
              <w:bottom w:val="nil"/>
              <w:right w:val="nil"/>
            </w:tcBorders>
            <w:shd w:val="clear" w:color="000000" w:fill="FFFFFF"/>
            <w:noWrap/>
            <w:hideMark/>
          </w:tcPr>
          <w:p w14:paraId="12C9874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- 18</w:t>
            </w:r>
          </w:p>
        </w:tc>
        <w:tc>
          <w:tcPr>
            <w:tcW w:w="200" w:type="dxa"/>
            <w:tcBorders>
              <w:top w:val="single" w:sz="4" w:space="0" w:color="auto"/>
              <w:left w:val="nil"/>
              <w:bottom w:val="nil"/>
              <w:right w:val="nil"/>
            </w:tcBorders>
            <w:shd w:val="clear" w:color="000000" w:fill="FFFFFF"/>
            <w:noWrap/>
            <w:hideMark/>
          </w:tcPr>
          <w:p w14:paraId="5857AB5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single" w:sz="4" w:space="0" w:color="auto"/>
              <w:left w:val="nil"/>
              <w:bottom w:val="nil"/>
              <w:right w:val="nil"/>
            </w:tcBorders>
            <w:shd w:val="clear" w:color="000000" w:fill="FFFFFF"/>
            <w:noWrap/>
            <w:hideMark/>
          </w:tcPr>
          <w:p w14:paraId="365464A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single" w:sz="4" w:space="0" w:color="auto"/>
              <w:left w:val="nil"/>
              <w:bottom w:val="nil"/>
              <w:right w:val="nil"/>
            </w:tcBorders>
            <w:shd w:val="clear" w:color="000000" w:fill="FFFFFF"/>
            <w:noWrap/>
            <w:hideMark/>
          </w:tcPr>
          <w:p w14:paraId="5EA5F17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708" w:type="dxa"/>
            <w:tcBorders>
              <w:top w:val="single" w:sz="4" w:space="0" w:color="auto"/>
              <w:left w:val="nil"/>
              <w:bottom w:val="nil"/>
              <w:right w:val="nil"/>
            </w:tcBorders>
            <w:shd w:val="clear" w:color="000000" w:fill="FFFFFF"/>
            <w:noWrap/>
            <w:hideMark/>
          </w:tcPr>
          <w:p w14:paraId="1F2C84A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- 20</w:t>
            </w:r>
          </w:p>
        </w:tc>
        <w:tc>
          <w:tcPr>
            <w:tcW w:w="160" w:type="dxa"/>
            <w:tcBorders>
              <w:top w:val="single" w:sz="4" w:space="0" w:color="auto"/>
              <w:left w:val="nil"/>
              <w:bottom w:val="nil"/>
              <w:right w:val="nil"/>
            </w:tcBorders>
            <w:shd w:val="clear" w:color="000000" w:fill="FFFFFF"/>
            <w:noWrap/>
            <w:hideMark/>
          </w:tcPr>
          <w:p w14:paraId="09E98CC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single" w:sz="4" w:space="0" w:color="auto"/>
              <w:left w:val="nil"/>
              <w:bottom w:val="nil"/>
              <w:right w:val="nil"/>
            </w:tcBorders>
            <w:shd w:val="clear" w:color="000000" w:fill="FFFFFF"/>
            <w:noWrap/>
            <w:hideMark/>
          </w:tcPr>
          <w:p w14:paraId="5FCB6CA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single" w:sz="4" w:space="0" w:color="auto"/>
              <w:left w:val="nil"/>
              <w:bottom w:val="nil"/>
              <w:right w:val="nil"/>
            </w:tcBorders>
            <w:shd w:val="clear" w:color="000000" w:fill="FFFFFF"/>
            <w:noWrap/>
            <w:hideMark/>
          </w:tcPr>
          <w:p w14:paraId="1A14879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709" w:type="dxa"/>
            <w:tcBorders>
              <w:top w:val="single" w:sz="4" w:space="0" w:color="auto"/>
              <w:left w:val="nil"/>
              <w:bottom w:val="nil"/>
              <w:right w:val="nil"/>
            </w:tcBorders>
            <w:shd w:val="clear" w:color="000000" w:fill="FFFFFF"/>
            <w:noWrap/>
            <w:hideMark/>
          </w:tcPr>
          <w:p w14:paraId="20A2201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160" w:type="dxa"/>
            <w:tcBorders>
              <w:top w:val="single" w:sz="4" w:space="0" w:color="auto"/>
              <w:left w:val="nil"/>
              <w:bottom w:val="nil"/>
              <w:right w:val="nil"/>
            </w:tcBorders>
            <w:shd w:val="clear" w:color="000000" w:fill="FFFFFF"/>
            <w:noWrap/>
            <w:hideMark/>
          </w:tcPr>
          <w:p w14:paraId="06B5FEB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single" w:sz="4" w:space="0" w:color="auto"/>
              <w:left w:val="nil"/>
              <w:bottom w:val="nil"/>
              <w:right w:val="nil"/>
            </w:tcBorders>
            <w:shd w:val="clear" w:color="000000" w:fill="FFFFFF"/>
            <w:noWrap/>
            <w:hideMark/>
          </w:tcPr>
          <w:p w14:paraId="0EF90BE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single" w:sz="4" w:space="0" w:color="auto"/>
              <w:left w:val="nil"/>
              <w:bottom w:val="nil"/>
              <w:right w:val="nil"/>
            </w:tcBorders>
            <w:shd w:val="clear" w:color="000000" w:fill="FFFFFF"/>
            <w:noWrap/>
            <w:hideMark/>
          </w:tcPr>
          <w:p w14:paraId="034A152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567" w:type="dxa"/>
            <w:tcBorders>
              <w:top w:val="single" w:sz="4" w:space="0" w:color="auto"/>
              <w:left w:val="nil"/>
              <w:bottom w:val="nil"/>
              <w:right w:val="nil"/>
            </w:tcBorders>
            <w:shd w:val="clear" w:color="000000" w:fill="FFFFFF"/>
            <w:noWrap/>
            <w:hideMark/>
          </w:tcPr>
          <w:p w14:paraId="4C194AA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6 ; 9 ; 11</w:t>
            </w:r>
          </w:p>
        </w:tc>
        <w:tc>
          <w:tcPr>
            <w:tcW w:w="632" w:type="dxa"/>
            <w:tcBorders>
              <w:top w:val="single" w:sz="4" w:space="0" w:color="auto"/>
              <w:left w:val="nil"/>
              <w:bottom w:val="nil"/>
              <w:right w:val="nil"/>
            </w:tcBorders>
            <w:shd w:val="clear" w:color="000000" w:fill="FFFFFF"/>
            <w:noWrap/>
            <w:hideMark/>
          </w:tcPr>
          <w:p w14:paraId="01520DA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6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- 29</w:t>
            </w:r>
          </w:p>
        </w:tc>
      </w:tr>
      <w:tr w:rsidR="006652DF" w:rsidRPr="006652DF" w14:paraId="2DBF27F4" w14:textId="77777777" w:rsidTr="006652DF">
        <w:trPr>
          <w:trHeight w:val="300"/>
        </w:trPr>
        <w:tc>
          <w:tcPr>
            <w:tcW w:w="1008" w:type="dxa"/>
            <w:tcBorders>
              <w:top w:val="nil"/>
              <w:left w:val="nil"/>
              <w:bottom w:val="nil"/>
              <w:right w:val="nil"/>
            </w:tcBorders>
            <w:shd w:val="clear" w:color="000000" w:fill="D9D9D9"/>
            <w:noWrap/>
            <w:hideMark/>
          </w:tcPr>
          <w:p w14:paraId="75F19793"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Flw.Aga</w:t>
            </w:r>
          </w:p>
        </w:tc>
        <w:tc>
          <w:tcPr>
            <w:tcW w:w="567" w:type="dxa"/>
            <w:tcBorders>
              <w:top w:val="nil"/>
              <w:left w:val="nil"/>
              <w:bottom w:val="nil"/>
              <w:right w:val="nil"/>
            </w:tcBorders>
            <w:shd w:val="clear" w:color="000000" w:fill="D9D9D9"/>
            <w:noWrap/>
            <w:hideMark/>
          </w:tcPr>
          <w:p w14:paraId="5050DB6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48FE327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5AE311F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D9D9D9"/>
            <w:noWrap/>
            <w:hideMark/>
          </w:tcPr>
          <w:p w14:paraId="5434170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D9D9D9"/>
            <w:noWrap/>
            <w:hideMark/>
          </w:tcPr>
          <w:p w14:paraId="6D65390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5F4952D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1AFC4D8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D9D9D9"/>
            <w:noWrap/>
            <w:hideMark/>
          </w:tcPr>
          <w:p w14:paraId="5C37608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537EFA2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494E8AB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nil"/>
              <w:left w:val="nil"/>
              <w:bottom w:val="nil"/>
              <w:right w:val="nil"/>
            </w:tcBorders>
            <w:shd w:val="clear" w:color="000000" w:fill="D9D9D9"/>
            <w:noWrap/>
            <w:hideMark/>
          </w:tcPr>
          <w:p w14:paraId="652CA0A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5</w:t>
            </w:r>
          </w:p>
        </w:tc>
        <w:tc>
          <w:tcPr>
            <w:tcW w:w="709" w:type="dxa"/>
            <w:tcBorders>
              <w:top w:val="nil"/>
              <w:left w:val="nil"/>
              <w:bottom w:val="nil"/>
              <w:right w:val="nil"/>
            </w:tcBorders>
            <w:shd w:val="clear" w:color="000000" w:fill="D9D9D9"/>
            <w:noWrap/>
            <w:hideMark/>
          </w:tcPr>
          <w:p w14:paraId="7C1C823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- 10</w:t>
            </w:r>
          </w:p>
        </w:tc>
        <w:tc>
          <w:tcPr>
            <w:tcW w:w="160" w:type="dxa"/>
            <w:tcBorders>
              <w:top w:val="nil"/>
              <w:left w:val="nil"/>
              <w:bottom w:val="nil"/>
              <w:right w:val="nil"/>
            </w:tcBorders>
            <w:shd w:val="clear" w:color="000000" w:fill="D9D9D9"/>
            <w:noWrap/>
            <w:hideMark/>
          </w:tcPr>
          <w:p w14:paraId="6CBC0D0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054CEDC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7349FD1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787E945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2B0D068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7F235E23" w14:textId="77777777" w:rsidTr="006652DF">
        <w:trPr>
          <w:trHeight w:val="560"/>
        </w:trPr>
        <w:tc>
          <w:tcPr>
            <w:tcW w:w="1008" w:type="dxa"/>
            <w:tcBorders>
              <w:top w:val="nil"/>
              <w:left w:val="nil"/>
              <w:bottom w:val="nil"/>
              <w:right w:val="nil"/>
            </w:tcBorders>
            <w:shd w:val="clear" w:color="000000" w:fill="FFFFFF"/>
            <w:noWrap/>
            <w:hideMark/>
          </w:tcPr>
          <w:p w14:paraId="196C921C"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Diam.Avi</w:t>
            </w:r>
          </w:p>
        </w:tc>
        <w:tc>
          <w:tcPr>
            <w:tcW w:w="567" w:type="dxa"/>
            <w:tcBorders>
              <w:top w:val="nil"/>
              <w:left w:val="nil"/>
              <w:bottom w:val="nil"/>
              <w:right w:val="nil"/>
            </w:tcBorders>
            <w:shd w:val="clear" w:color="000000" w:fill="FFFFFF"/>
            <w:noWrap/>
            <w:hideMark/>
          </w:tcPr>
          <w:p w14:paraId="752E072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11</w:t>
            </w:r>
          </w:p>
        </w:tc>
        <w:tc>
          <w:tcPr>
            <w:tcW w:w="567" w:type="dxa"/>
            <w:tcBorders>
              <w:top w:val="nil"/>
              <w:left w:val="nil"/>
              <w:bottom w:val="nil"/>
              <w:right w:val="nil"/>
            </w:tcBorders>
            <w:shd w:val="clear" w:color="000000" w:fill="FFFFFF"/>
            <w:noWrap/>
            <w:hideMark/>
          </w:tcPr>
          <w:p w14:paraId="01D61C5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0E0B25E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FFFFFF"/>
            <w:noWrap/>
            <w:hideMark/>
          </w:tcPr>
          <w:p w14:paraId="5CB8F98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FFFFFF"/>
            <w:noWrap/>
            <w:hideMark/>
          </w:tcPr>
          <w:p w14:paraId="3F49001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6E95429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851" w:type="dxa"/>
            <w:tcBorders>
              <w:top w:val="nil"/>
              <w:left w:val="nil"/>
              <w:bottom w:val="nil"/>
              <w:right w:val="nil"/>
            </w:tcBorders>
            <w:shd w:val="clear" w:color="000000" w:fill="FFFFFF"/>
            <w:hideMark/>
          </w:tcPr>
          <w:p w14:paraId="6F28FC6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5 ; 6 ; 10 ; 11</w:t>
            </w:r>
          </w:p>
        </w:tc>
        <w:tc>
          <w:tcPr>
            <w:tcW w:w="708" w:type="dxa"/>
            <w:tcBorders>
              <w:top w:val="nil"/>
              <w:left w:val="nil"/>
              <w:bottom w:val="nil"/>
              <w:right w:val="nil"/>
            </w:tcBorders>
            <w:shd w:val="clear" w:color="000000" w:fill="FFFFFF"/>
            <w:noWrap/>
            <w:hideMark/>
          </w:tcPr>
          <w:p w14:paraId="1267584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- 17</w:t>
            </w:r>
          </w:p>
        </w:tc>
        <w:tc>
          <w:tcPr>
            <w:tcW w:w="160" w:type="dxa"/>
            <w:tcBorders>
              <w:top w:val="nil"/>
              <w:left w:val="nil"/>
              <w:bottom w:val="nil"/>
              <w:right w:val="nil"/>
            </w:tcBorders>
            <w:shd w:val="clear" w:color="000000" w:fill="FFFFFF"/>
            <w:noWrap/>
            <w:hideMark/>
          </w:tcPr>
          <w:p w14:paraId="21B26E7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5543A5F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851" w:type="dxa"/>
            <w:tcBorders>
              <w:top w:val="nil"/>
              <w:left w:val="nil"/>
              <w:bottom w:val="nil"/>
              <w:right w:val="nil"/>
            </w:tcBorders>
            <w:shd w:val="clear" w:color="000000" w:fill="FFFFFF"/>
            <w:hideMark/>
          </w:tcPr>
          <w:p w14:paraId="1F41CD9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4 ; 9 ; 10 ; 12</w:t>
            </w:r>
          </w:p>
        </w:tc>
        <w:tc>
          <w:tcPr>
            <w:tcW w:w="709" w:type="dxa"/>
            <w:tcBorders>
              <w:top w:val="nil"/>
              <w:left w:val="nil"/>
              <w:bottom w:val="nil"/>
              <w:right w:val="nil"/>
            </w:tcBorders>
            <w:shd w:val="clear" w:color="000000" w:fill="FFFFFF"/>
            <w:noWrap/>
            <w:hideMark/>
          </w:tcPr>
          <w:p w14:paraId="3A78044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- 22</w:t>
            </w:r>
          </w:p>
        </w:tc>
        <w:tc>
          <w:tcPr>
            <w:tcW w:w="160" w:type="dxa"/>
            <w:tcBorders>
              <w:top w:val="nil"/>
              <w:left w:val="nil"/>
              <w:bottom w:val="nil"/>
              <w:right w:val="nil"/>
            </w:tcBorders>
            <w:shd w:val="clear" w:color="000000" w:fill="FFFFFF"/>
            <w:noWrap/>
            <w:hideMark/>
          </w:tcPr>
          <w:p w14:paraId="2949C28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0DB8BCF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0336163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4CFFF91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632" w:type="dxa"/>
            <w:tcBorders>
              <w:top w:val="nil"/>
              <w:left w:val="nil"/>
              <w:bottom w:val="nil"/>
              <w:right w:val="nil"/>
            </w:tcBorders>
            <w:shd w:val="clear" w:color="000000" w:fill="FFFFFF"/>
            <w:noWrap/>
            <w:hideMark/>
          </w:tcPr>
          <w:p w14:paraId="130342B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r>
      <w:tr w:rsidR="006652DF" w:rsidRPr="006652DF" w14:paraId="6595C952" w14:textId="77777777" w:rsidTr="006652DF">
        <w:trPr>
          <w:trHeight w:val="300"/>
        </w:trPr>
        <w:tc>
          <w:tcPr>
            <w:tcW w:w="1008" w:type="dxa"/>
            <w:tcBorders>
              <w:top w:val="nil"/>
              <w:left w:val="nil"/>
              <w:bottom w:val="nil"/>
              <w:right w:val="nil"/>
            </w:tcBorders>
            <w:shd w:val="clear" w:color="000000" w:fill="D9D9D9"/>
            <w:noWrap/>
            <w:hideMark/>
          </w:tcPr>
          <w:p w14:paraId="0ADF67FE"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Diam.Aga</w:t>
            </w:r>
          </w:p>
        </w:tc>
        <w:tc>
          <w:tcPr>
            <w:tcW w:w="567" w:type="dxa"/>
            <w:tcBorders>
              <w:top w:val="nil"/>
              <w:left w:val="nil"/>
              <w:bottom w:val="nil"/>
              <w:right w:val="nil"/>
            </w:tcBorders>
            <w:shd w:val="clear" w:color="000000" w:fill="D9D9D9"/>
            <w:noWrap/>
            <w:hideMark/>
          </w:tcPr>
          <w:p w14:paraId="37A537B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567" w:type="dxa"/>
            <w:tcBorders>
              <w:top w:val="nil"/>
              <w:left w:val="nil"/>
              <w:bottom w:val="nil"/>
              <w:right w:val="nil"/>
            </w:tcBorders>
            <w:shd w:val="clear" w:color="000000" w:fill="D9D9D9"/>
            <w:noWrap/>
            <w:hideMark/>
          </w:tcPr>
          <w:p w14:paraId="58583DE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4C4BA48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D9D9D9"/>
            <w:noWrap/>
            <w:hideMark/>
          </w:tcPr>
          <w:p w14:paraId="0CF2BDB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D9D9D9"/>
            <w:noWrap/>
            <w:hideMark/>
          </w:tcPr>
          <w:p w14:paraId="5763ADB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260C998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4C6AAB8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D9D9D9"/>
            <w:noWrap/>
            <w:hideMark/>
          </w:tcPr>
          <w:p w14:paraId="334351E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38AAE2E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0ED0017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5CD5705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D9D9D9"/>
            <w:noWrap/>
            <w:hideMark/>
          </w:tcPr>
          <w:p w14:paraId="0342F32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3A77C2B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1F75B74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0204221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739D82C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6</w:t>
            </w:r>
          </w:p>
        </w:tc>
        <w:tc>
          <w:tcPr>
            <w:tcW w:w="632" w:type="dxa"/>
            <w:tcBorders>
              <w:top w:val="nil"/>
              <w:left w:val="nil"/>
              <w:bottom w:val="nil"/>
              <w:right w:val="nil"/>
            </w:tcBorders>
            <w:shd w:val="clear" w:color="000000" w:fill="D9D9D9"/>
            <w:noWrap/>
            <w:hideMark/>
          </w:tcPr>
          <w:p w14:paraId="7CAF211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2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- 26</w:t>
            </w:r>
          </w:p>
        </w:tc>
      </w:tr>
      <w:tr w:rsidR="006652DF" w:rsidRPr="006652DF" w14:paraId="7BBD65CA" w14:textId="77777777" w:rsidTr="006652DF">
        <w:trPr>
          <w:trHeight w:val="300"/>
        </w:trPr>
        <w:tc>
          <w:tcPr>
            <w:tcW w:w="1008" w:type="dxa"/>
            <w:tcBorders>
              <w:top w:val="nil"/>
              <w:left w:val="nil"/>
              <w:bottom w:val="nil"/>
              <w:right w:val="nil"/>
            </w:tcBorders>
            <w:shd w:val="clear" w:color="000000" w:fill="FFFFFF"/>
            <w:noWrap/>
            <w:hideMark/>
          </w:tcPr>
          <w:p w14:paraId="3E5937C4"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Leaf.Avi</w:t>
            </w:r>
          </w:p>
        </w:tc>
        <w:tc>
          <w:tcPr>
            <w:tcW w:w="567" w:type="dxa"/>
            <w:tcBorders>
              <w:top w:val="nil"/>
              <w:left w:val="nil"/>
              <w:bottom w:val="nil"/>
              <w:right w:val="nil"/>
            </w:tcBorders>
            <w:shd w:val="clear" w:color="000000" w:fill="FFFFFF"/>
            <w:noWrap/>
            <w:hideMark/>
          </w:tcPr>
          <w:p w14:paraId="7FBD200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567" w:type="dxa"/>
            <w:tcBorders>
              <w:top w:val="nil"/>
              <w:left w:val="nil"/>
              <w:bottom w:val="nil"/>
              <w:right w:val="nil"/>
            </w:tcBorders>
            <w:shd w:val="clear" w:color="000000" w:fill="FFFFFF"/>
            <w:noWrap/>
            <w:hideMark/>
          </w:tcPr>
          <w:p w14:paraId="1582DE3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589317C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3</w:t>
            </w:r>
          </w:p>
        </w:tc>
        <w:tc>
          <w:tcPr>
            <w:tcW w:w="992" w:type="dxa"/>
            <w:tcBorders>
              <w:top w:val="nil"/>
              <w:left w:val="nil"/>
              <w:bottom w:val="nil"/>
              <w:right w:val="nil"/>
            </w:tcBorders>
            <w:shd w:val="clear" w:color="000000" w:fill="FFFFFF"/>
            <w:noWrap/>
            <w:hideMark/>
          </w:tcPr>
          <w:p w14:paraId="1E04118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113</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- 686</w:t>
            </w:r>
          </w:p>
        </w:tc>
        <w:tc>
          <w:tcPr>
            <w:tcW w:w="200" w:type="dxa"/>
            <w:tcBorders>
              <w:top w:val="nil"/>
              <w:left w:val="nil"/>
              <w:bottom w:val="nil"/>
              <w:right w:val="nil"/>
            </w:tcBorders>
            <w:shd w:val="clear" w:color="000000" w:fill="FFFFFF"/>
            <w:noWrap/>
            <w:hideMark/>
          </w:tcPr>
          <w:p w14:paraId="1D22030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3CDBBF5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55497B7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FFFFFF"/>
            <w:noWrap/>
            <w:hideMark/>
          </w:tcPr>
          <w:p w14:paraId="7F11BFB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66F5DB7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00F1B01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52FE056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709" w:type="dxa"/>
            <w:tcBorders>
              <w:top w:val="nil"/>
              <w:left w:val="nil"/>
              <w:bottom w:val="nil"/>
              <w:right w:val="nil"/>
            </w:tcBorders>
            <w:shd w:val="clear" w:color="000000" w:fill="FFFFFF"/>
            <w:noWrap/>
            <w:hideMark/>
          </w:tcPr>
          <w:p w14:paraId="7621209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7</w:t>
            </w:r>
          </w:p>
        </w:tc>
        <w:tc>
          <w:tcPr>
            <w:tcW w:w="160" w:type="dxa"/>
            <w:tcBorders>
              <w:top w:val="nil"/>
              <w:left w:val="nil"/>
              <w:bottom w:val="nil"/>
              <w:right w:val="nil"/>
            </w:tcBorders>
            <w:shd w:val="clear" w:color="000000" w:fill="FFFFFF"/>
            <w:noWrap/>
            <w:hideMark/>
          </w:tcPr>
          <w:p w14:paraId="6FEC620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5A79754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0095947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056E5BE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w:t>
            </w:r>
          </w:p>
        </w:tc>
        <w:tc>
          <w:tcPr>
            <w:tcW w:w="632" w:type="dxa"/>
            <w:tcBorders>
              <w:top w:val="nil"/>
              <w:left w:val="nil"/>
              <w:bottom w:val="nil"/>
              <w:right w:val="nil"/>
            </w:tcBorders>
            <w:shd w:val="clear" w:color="000000" w:fill="FFFFFF"/>
            <w:noWrap/>
            <w:hideMark/>
          </w:tcPr>
          <w:p w14:paraId="75C7596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32</w:t>
            </w:r>
          </w:p>
        </w:tc>
      </w:tr>
      <w:tr w:rsidR="006652DF" w:rsidRPr="006652DF" w14:paraId="0B303320" w14:textId="77777777" w:rsidTr="006652DF">
        <w:trPr>
          <w:trHeight w:val="300"/>
        </w:trPr>
        <w:tc>
          <w:tcPr>
            <w:tcW w:w="1008" w:type="dxa"/>
            <w:tcBorders>
              <w:top w:val="nil"/>
              <w:left w:val="nil"/>
              <w:bottom w:val="nil"/>
              <w:right w:val="nil"/>
            </w:tcBorders>
            <w:shd w:val="clear" w:color="000000" w:fill="D9D9D9"/>
            <w:noWrap/>
            <w:hideMark/>
          </w:tcPr>
          <w:p w14:paraId="2BF6FF21"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Leaf.Aga</w:t>
            </w:r>
          </w:p>
        </w:tc>
        <w:tc>
          <w:tcPr>
            <w:tcW w:w="567" w:type="dxa"/>
            <w:tcBorders>
              <w:top w:val="nil"/>
              <w:left w:val="nil"/>
              <w:bottom w:val="nil"/>
              <w:right w:val="nil"/>
            </w:tcBorders>
            <w:shd w:val="clear" w:color="000000" w:fill="D9D9D9"/>
            <w:noWrap/>
            <w:hideMark/>
          </w:tcPr>
          <w:p w14:paraId="3DA65B7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567" w:type="dxa"/>
            <w:tcBorders>
              <w:top w:val="nil"/>
              <w:left w:val="nil"/>
              <w:bottom w:val="nil"/>
              <w:right w:val="nil"/>
            </w:tcBorders>
            <w:shd w:val="clear" w:color="000000" w:fill="D9D9D9"/>
            <w:noWrap/>
            <w:hideMark/>
          </w:tcPr>
          <w:p w14:paraId="3210EE0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p>
        </w:tc>
        <w:tc>
          <w:tcPr>
            <w:tcW w:w="567" w:type="dxa"/>
            <w:tcBorders>
              <w:top w:val="nil"/>
              <w:left w:val="nil"/>
              <w:bottom w:val="nil"/>
              <w:right w:val="nil"/>
            </w:tcBorders>
            <w:shd w:val="clear" w:color="000000" w:fill="D9D9D9"/>
            <w:noWrap/>
            <w:hideMark/>
          </w:tcPr>
          <w:p w14:paraId="4E895D8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 ; 3 ; 11</w:t>
            </w:r>
          </w:p>
        </w:tc>
        <w:tc>
          <w:tcPr>
            <w:tcW w:w="992" w:type="dxa"/>
            <w:tcBorders>
              <w:top w:val="nil"/>
              <w:left w:val="nil"/>
              <w:bottom w:val="nil"/>
              <w:right w:val="nil"/>
            </w:tcBorders>
            <w:shd w:val="clear" w:color="000000" w:fill="D9D9D9"/>
            <w:noWrap/>
            <w:hideMark/>
          </w:tcPr>
          <w:p w14:paraId="06D6316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- 43</w:t>
            </w:r>
          </w:p>
        </w:tc>
        <w:tc>
          <w:tcPr>
            <w:tcW w:w="200" w:type="dxa"/>
            <w:tcBorders>
              <w:top w:val="nil"/>
              <w:left w:val="nil"/>
              <w:bottom w:val="nil"/>
              <w:right w:val="nil"/>
            </w:tcBorders>
            <w:shd w:val="clear" w:color="000000" w:fill="D9D9D9"/>
            <w:noWrap/>
            <w:hideMark/>
          </w:tcPr>
          <w:p w14:paraId="6233089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5ADCD16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645A731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708" w:type="dxa"/>
            <w:tcBorders>
              <w:top w:val="nil"/>
              <w:left w:val="nil"/>
              <w:bottom w:val="nil"/>
              <w:right w:val="nil"/>
            </w:tcBorders>
            <w:shd w:val="clear" w:color="000000" w:fill="D9D9D9"/>
            <w:noWrap/>
            <w:hideMark/>
          </w:tcPr>
          <w:p w14:paraId="7CFE6AA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160" w:type="dxa"/>
            <w:tcBorders>
              <w:top w:val="nil"/>
              <w:left w:val="nil"/>
              <w:bottom w:val="nil"/>
              <w:right w:val="nil"/>
            </w:tcBorders>
            <w:shd w:val="clear" w:color="000000" w:fill="D9D9D9"/>
            <w:noWrap/>
            <w:hideMark/>
          </w:tcPr>
          <w:p w14:paraId="474DBFE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0CC83F9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nil"/>
              <w:left w:val="nil"/>
              <w:bottom w:val="nil"/>
              <w:right w:val="nil"/>
            </w:tcBorders>
            <w:shd w:val="clear" w:color="000000" w:fill="D9D9D9"/>
            <w:noWrap/>
            <w:hideMark/>
          </w:tcPr>
          <w:p w14:paraId="793D281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w:t>
            </w:r>
          </w:p>
        </w:tc>
        <w:tc>
          <w:tcPr>
            <w:tcW w:w="709" w:type="dxa"/>
            <w:tcBorders>
              <w:top w:val="nil"/>
              <w:left w:val="nil"/>
              <w:bottom w:val="nil"/>
              <w:right w:val="nil"/>
            </w:tcBorders>
            <w:shd w:val="clear" w:color="000000" w:fill="D9D9D9"/>
            <w:noWrap/>
            <w:hideMark/>
          </w:tcPr>
          <w:p w14:paraId="3A374A0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- 20</w:t>
            </w:r>
          </w:p>
        </w:tc>
        <w:tc>
          <w:tcPr>
            <w:tcW w:w="160" w:type="dxa"/>
            <w:tcBorders>
              <w:top w:val="nil"/>
              <w:left w:val="nil"/>
              <w:bottom w:val="nil"/>
              <w:right w:val="nil"/>
            </w:tcBorders>
            <w:shd w:val="clear" w:color="000000" w:fill="D9D9D9"/>
            <w:noWrap/>
            <w:hideMark/>
          </w:tcPr>
          <w:p w14:paraId="761FC26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3B71339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00D624B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324B650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116FDAF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1C3D3A31" w14:textId="77777777" w:rsidTr="006652DF">
        <w:trPr>
          <w:trHeight w:val="300"/>
        </w:trPr>
        <w:tc>
          <w:tcPr>
            <w:tcW w:w="1008" w:type="dxa"/>
            <w:tcBorders>
              <w:top w:val="nil"/>
              <w:left w:val="nil"/>
              <w:bottom w:val="nil"/>
              <w:right w:val="nil"/>
            </w:tcBorders>
            <w:shd w:val="clear" w:color="000000" w:fill="FFFFFF"/>
            <w:noWrap/>
            <w:hideMark/>
          </w:tcPr>
          <w:p w14:paraId="53261858"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Ht.Avi</w:t>
            </w:r>
          </w:p>
        </w:tc>
        <w:tc>
          <w:tcPr>
            <w:tcW w:w="567" w:type="dxa"/>
            <w:tcBorders>
              <w:top w:val="nil"/>
              <w:left w:val="nil"/>
              <w:bottom w:val="nil"/>
              <w:right w:val="nil"/>
            </w:tcBorders>
            <w:shd w:val="clear" w:color="000000" w:fill="FFFFFF"/>
            <w:noWrap/>
            <w:hideMark/>
          </w:tcPr>
          <w:p w14:paraId="7780D5A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567" w:type="dxa"/>
            <w:tcBorders>
              <w:top w:val="nil"/>
              <w:left w:val="nil"/>
              <w:bottom w:val="nil"/>
              <w:right w:val="nil"/>
            </w:tcBorders>
            <w:shd w:val="clear" w:color="000000" w:fill="FFFFFF"/>
            <w:noWrap/>
            <w:hideMark/>
          </w:tcPr>
          <w:p w14:paraId="249041A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4D32838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992" w:type="dxa"/>
            <w:tcBorders>
              <w:top w:val="nil"/>
              <w:left w:val="nil"/>
              <w:bottom w:val="nil"/>
              <w:right w:val="nil"/>
            </w:tcBorders>
            <w:shd w:val="clear" w:color="000000" w:fill="FFFFFF"/>
            <w:noWrap/>
            <w:hideMark/>
          </w:tcPr>
          <w:p w14:paraId="25ED655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- 40</w:t>
            </w:r>
          </w:p>
        </w:tc>
        <w:tc>
          <w:tcPr>
            <w:tcW w:w="200" w:type="dxa"/>
            <w:tcBorders>
              <w:top w:val="nil"/>
              <w:left w:val="nil"/>
              <w:bottom w:val="nil"/>
              <w:right w:val="nil"/>
            </w:tcBorders>
            <w:shd w:val="clear" w:color="000000" w:fill="FFFFFF"/>
            <w:noWrap/>
            <w:hideMark/>
          </w:tcPr>
          <w:p w14:paraId="1F552EB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21ED1AB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FFFFFF"/>
            <w:noWrap/>
            <w:hideMark/>
          </w:tcPr>
          <w:p w14:paraId="20268CD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7 ; 9</w:t>
            </w:r>
          </w:p>
        </w:tc>
        <w:tc>
          <w:tcPr>
            <w:tcW w:w="708" w:type="dxa"/>
            <w:tcBorders>
              <w:top w:val="nil"/>
              <w:left w:val="nil"/>
              <w:bottom w:val="nil"/>
              <w:right w:val="nil"/>
            </w:tcBorders>
            <w:shd w:val="clear" w:color="000000" w:fill="FFFFFF"/>
            <w:noWrap/>
            <w:hideMark/>
          </w:tcPr>
          <w:p w14:paraId="01F6BE7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13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- 27</w:t>
            </w:r>
          </w:p>
        </w:tc>
        <w:tc>
          <w:tcPr>
            <w:tcW w:w="160" w:type="dxa"/>
            <w:tcBorders>
              <w:top w:val="nil"/>
              <w:left w:val="nil"/>
              <w:bottom w:val="nil"/>
              <w:right w:val="nil"/>
            </w:tcBorders>
            <w:shd w:val="clear" w:color="000000" w:fill="FFFFFF"/>
            <w:noWrap/>
            <w:hideMark/>
          </w:tcPr>
          <w:p w14:paraId="71F5E6A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019F2F9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52F1ECB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FFFFFF"/>
            <w:noWrap/>
            <w:hideMark/>
          </w:tcPr>
          <w:p w14:paraId="2612935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31ABC07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25031D6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038BA42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1F262F3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16ECF9F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013F3050" w14:textId="77777777" w:rsidTr="006652DF">
        <w:trPr>
          <w:trHeight w:val="300"/>
        </w:trPr>
        <w:tc>
          <w:tcPr>
            <w:tcW w:w="1008" w:type="dxa"/>
            <w:tcBorders>
              <w:top w:val="nil"/>
              <w:left w:val="nil"/>
              <w:bottom w:val="nil"/>
              <w:right w:val="nil"/>
            </w:tcBorders>
            <w:shd w:val="clear" w:color="000000" w:fill="D9D9D9"/>
            <w:noWrap/>
            <w:hideMark/>
          </w:tcPr>
          <w:p w14:paraId="73EE20A5"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Ht.Aga</w:t>
            </w:r>
          </w:p>
        </w:tc>
        <w:tc>
          <w:tcPr>
            <w:tcW w:w="567" w:type="dxa"/>
            <w:tcBorders>
              <w:top w:val="nil"/>
              <w:left w:val="nil"/>
              <w:bottom w:val="nil"/>
              <w:right w:val="nil"/>
            </w:tcBorders>
            <w:shd w:val="clear" w:color="000000" w:fill="D9D9D9"/>
            <w:noWrap/>
            <w:hideMark/>
          </w:tcPr>
          <w:p w14:paraId="116758A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567" w:type="dxa"/>
            <w:tcBorders>
              <w:top w:val="nil"/>
              <w:left w:val="nil"/>
              <w:bottom w:val="nil"/>
              <w:right w:val="nil"/>
            </w:tcBorders>
            <w:shd w:val="clear" w:color="000000" w:fill="D9D9D9"/>
            <w:noWrap/>
            <w:hideMark/>
          </w:tcPr>
          <w:p w14:paraId="44C091C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2AA53EF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w:t>
            </w:r>
          </w:p>
        </w:tc>
        <w:tc>
          <w:tcPr>
            <w:tcW w:w="992" w:type="dxa"/>
            <w:tcBorders>
              <w:top w:val="nil"/>
              <w:left w:val="nil"/>
              <w:bottom w:val="nil"/>
              <w:right w:val="nil"/>
            </w:tcBorders>
            <w:shd w:val="clear" w:color="000000" w:fill="D9D9D9"/>
            <w:noWrap/>
            <w:hideMark/>
          </w:tcPr>
          <w:p w14:paraId="206E0C2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- 19</w:t>
            </w:r>
          </w:p>
        </w:tc>
        <w:tc>
          <w:tcPr>
            <w:tcW w:w="200" w:type="dxa"/>
            <w:tcBorders>
              <w:top w:val="nil"/>
              <w:left w:val="nil"/>
              <w:bottom w:val="nil"/>
              <w:right w:val="nil"/>
            </w:tcBorders>
            <w:shd w:val="clear" w:color="000000" w:fill="D9D9D9"/>
            <w:noWrap/>
            <w:hideMark/>
          </w:tcPr>
          <w:p w14:paraId="38D546B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6907327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nil"/>
              <w:left w:val="nil"/>
              <w:bottom w:val="nil"/>
              <w:right w:val="nil"/>
            </w:tcBorders>
            <w:shd w:val="clear" w:color="000000" w:fill="D9D9D9"/>
            <w:noWrap/>
            <w:hideMark/>
          </w:tcPr>
          <w:p w14:paraId="542925A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3</w:t>
            </w:r>
          </w:p>
        </w:tc>
        <w:tc>
          <w:tcPr>
            <w:tcW w:w="708" w:type="dxa"/>
            <w:tcBorders>
              <w:top w:val="nil"/>
              <w:left w:val="nil"/>
              <w:bottom w:val="nil"/>
              <w:right w:val="nil"/>
            </w:tcBorders>
            <w:shd w:val="clear" w:color="000000" w:fill="D9D9D9"/>
            <w:noWrap/>
            <w:hideMark/>
          </w:tcPr>
          <w:p w14:paraId="49973B2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2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- 14</w:t>
            </w:r>
          </w:p>
        </w:tc>
        <w:tc>
          <w:tcPr>
            <w:tcW w:w="160" w:type="dxa"/>
            <w:tcBorders>
              <w:top w:val="nil"/>
              <w:left w:val="nil"/>
              <w:bottom w:val="nil"/>
              <w:right w:val="nil"/>
            </w:tcBorders>
            <w:shd w:val="clear" w:color="000000" w:fill="D9D9D9"/>
            <w:noWrap/>
            <w:hideMark/>
          </w:tcPr>
          <w:p w14:paraId="49C466A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0EA33D0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27693B5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12</w:t>
            </w:r>
          </w:p>
        </w:tc>
        <w:tc>
          <w:tcPr>
            <w:tcW w:w="709" w:type="dxa"/>
            <w:tcBorders>
              <w:top w:val="nil"/>
              <w:left w:val="nil"/>
              <w:bottom w:val="nil"/>
              <w:right w:val="nil"/>
            </w:tcBorders>
            <w:shd w:val="clear" w:color="000000" w:fill="D9D9D9"/>
            <w:noWrap/>
            <w:hideMark/>
          </w:tcPr>
          <w:p w14:paraId="0B17485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7</w:t>
            </w:r>
          </w:p>
        </w:tc>
        <w:tc>
          <w:tcPr>
            <w:tcW w:w="160" w:type="dxa"/>
            <w:tcBorders>
              <w:top w:val="nil"/>
              <w:left w:val="nil"/>
              <w:bottom w:val="nil"/>
              <w:right w:val="nil"/>
            </w:tcBorders>
            <w:shd w:val="clear" w:color="000000" w:fill="D9D9D9"/>
            <w:noWrap/>
            <w:hideMark/>
          </w:tcPr>
          <w:p w14:paraId="173FC8A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0500FF8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1258214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5A0294D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3013C37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74390667" w14:textId="77777777" w:rsidTr="006652DF">
        <w:trPr>
          <w:trHeight w:val="300"/>
        </w:trPr>
        <w:tc>
          <w:tcPr>
            <w:tcW w:w="1008" w:type="dxa"/>
            <w:tcBorders>
              <w:top w:val="nil"/>
              <w:left w:val="nil"/>
              <w:bottom w:val="nil"/>
              <w:right w:val="nil"/>
            </w:tcBorders>
            <w:shd w:val="clear" w:color="000000" w:fill="FFFFFF"/>
            <w:noWrap/>
            <w:hideMark/>
          </w:tcPr>
          <w:p w14:paraId="702D0C61"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Nbfruits.Avi</w:t>
            </w:r>
          </w:p>
        </w:tc>
        <w:tc>
          <w:tcPr>
            <w:tcW w:w="567" w:type="dxa"/>
            <w:tcBorders>
              <w:top w:val="nil"/>
              <w:left w:val="nil"/>
              <w:bottom w:val="nil"/>
              <w:right w:val="nil"/>
            </w:tcBorders>
            <w:shd w:val="clear" w:color="000000" w:fill="FFFFFF"/>
            <w:noWrap/>
            <w:hideMark/>
          </w:tcPr>
          <w:p w14:paraId="0B40E29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w:t>
            </w:r>
          </w:p>
        </w:tc>
        <w:tc>
          <w:tcPr>
            <w:tcW w:w="567" w:type="dxa"/>
            <w:tcBorders>
              <w:top w:val="nil"/>
              <w:left w:val="nil"/>
              <w:bottom w:val="nil"/>
              <w:right w:val="nil"/>
            </w:tcBorders>
            <w:shd w:val="clear" w:color="000000" w:fill="FFFFFF"/>
            <w:noWrap/>
            <w:hideMark/>
          </w:tcPr>
          <w:p w14:paraId="5341C24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1CC5F3B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 ; 12</w:t>
            </w:r>
          </w:p>
        </w:tc>
        <w:tc>
          <w:tcPr>
            <w:tcW w:w="992" w:type="dxa"/>
            <w:tcBorders>
              <w:top w:val="nil"/>
              <w:left w:val="nil"/>
              <w:bottom w:val="nil"/>
              <w:right w:val="nil"/>
            </w:tcBorders>
            <w:shd w:val="clear" w:color="000000" w:fill="FFFFFF"/>
            <w:noWrap/>
            <w:hideMark/>
          </w:tcPr>
          <w:p w14:paraId="7123342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- 27</w:t>
            </w:r>
          </w:p>
        </w:tc>
        <w:tc>
          <w:tcPr>
            <w:tcW w:w="200" w:type="dxa"/>
            <w:tcBorders>
              <w:top w:val="nil"/>
              <w:left w:val="nil"/>
              <w:bottom w:val="nil"/>
              <w:right w:val="nil"/>
            </w:tcBorders>
            <w:shd w:val="clear" w:color="000000" w:fill="FFFFFF"/>
            <w:noWrap/>
            <w:hideMark/>
          </w:tcPr>
          <w:p w14:paraId="6E94AE5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58F1D25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FFFFFF"/>
            <w:noWrap/>
            <w:hideMark/>
          </w:tcPr>
          <w:p w14:paraId="50203CF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7 ; 11</w:t>
            </w:r>
          </w:p>
        </w:tc>
        <w:tc>
          <w:tcPr>
            <w:tcW w:w="708" w:type="dxa"/>
            <w:tcBorders>
              <w:top w:val="nil"/>
              <w:left w:val="nil"/>
              <w:bottom w:val="nil"/>
              <w:right w:val="nil"/>
            </w:tcBorders>
            <w:shd w:val="clear" w:color="000000" w:fill="FFFFFF"/>
            <w:noWrap/>
            <w:hideMark/>
          </w:tcPr>
          <w:p w14:paraId="7FD06B6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- 32</w:t>
            </w:r>
          </w:p>
        </w:tc>
        <w:tc>
          <w:tcPr>
            <w:tcW w:w="160" w:type="dxa"/>
            <w:tcBorders>
              <w:top w:val="nil"/>
              <w:left w:val="nil"/>
              <w:bottom w:val="nil"/>
              <w:right w:val="nil"/>
            </w:tcBorders>
            <w:shd w:val="clear" w:color="000000" w:fill="FFFFFF"/>
            <w:noWrap/>
            <w:hideMark/>
          </w:tcPr>
          <w:p w14:paraId="79B5692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3F8F8DB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FFFFFF"/>
            <w:noWrap/>
            <w:hideMark/>
          </w:tcPr>
          <w:p w14:paraId="013CF7F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 ; 10</w:t>
            </w:r>
          </w:p>
        </w:tc>
        <w:tc>
          <w:tcPr>
            <w:tcW w:w="709" w:type="dxa"/>
            <w:tcBorders>
              <w:top w:val="nil"/>
              <w:left w:val="nil"/>
              <w:bottom w:val="nil"/>
              <w:right w:val="nil"/>
            </w:tcBorders>
            <w:shd w:val="clear" w:color="000000" w:fill="FFFFFF"/>
            <w:noWrap/>
            <w:hideMark/>
          </w:tcPr>
          <w:p w14:paraId="1B012E4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9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- 98</w:t>
            </w:r>
          </w:p>
        </w:tc>
        <w:tc>
          <w:tcPr>
            <w:tcW w:w="160" w:type="dxa"/>
            <w:tcBorders>
              <w:top w:val="nil"/>
              <w:left w:val="nil"/>
              <w:bottom w:val="nil"/>
              <w:right w:val="nil"/>
            </w:tcBorders>
            <w:shd w:val="clear" w:color="000000" w:fill="FFFFFF"/>
            <w:noWrap/>
            <w:hideMark/>
          </w:tcPr>
          <w:p w14:paraId="1758023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265A3A2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6E75F2D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3DF3518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3A8AA71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64FB3E2E" w14:textId="77777777" w:rsidTr="006652DF">
        <w:trPr>
          <w:trHeight w:val="300"/>
        </w:trPr>
        <w:tc>
          <w:tcPr>
            <w:tcW w:w="1008" w:type="dxa"/>
            <w:tcBorders>
              <w:top w:val="nil"/>
              <w:left w:val="nil"/>
              <w:bottom w:val="nil"/>
              <w:right w:val="nil"/>
            </w:tcBorders>
            <w:shd w:val="clear" w:color="000000" w:fill="D9D9D9"/>
            <w:noWrap/>
            <w:hideMark/>
          </w:tcPr>
          <w:p w14:paraId="4AB79095"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FW.Avi</w:t>
            </w:r>
          </w:p>
        </w:tc>
        <w:tc>
          <w:tcPr>
            <w:tcW w:w="567" w:type="dxa"/>
            <w:tcBorders>
              <w:top w:val="nil"/>
              <w:left w:val="nil"/>
              <w:bottom w:val="nil"/>
              <w:right w:val="nil"/>
            </w:tcBorders>
            <w:shd w:val="clear" w:color="000000" w:fill="D9D9D9"/>
            <w:noWrap/>
            <w:hideMark/>
          </w:tcPr>
          <w:p w14:paraId="7F32850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567" w:type="dxa"/>
            <w:tcBorders>
              <w:top w:val="nil"/>
              <w:left w:val="nil"/>
              <w:bottom w:val="nil"/>
              <w:right w:val="nil"/>
            </w:tcBorders>
            <w:shd w:val="clear" w:color="000000" w:fill="D9D9D9"/>
            <w:noWrap/>
            <w:hideMark/>
          </w:tcPr>
          <w:p w14:paraId="5025989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4D5C6E5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3</w:t>
            </w:r>
          </w:p>
        </w:tc>
        <w:tc>
          <w:tcPr>
            <w:tcW w:w="992" w:type="dxa"/>
            <w:tcBorders>
              <w:top w:val="nil"/>
              <w:left w:val="nil"/>
              <w:bottom w:val="nil"/>
              <w:right w:val="nil"/>
            </w:tcBorders>
            <w:shd w:val="clear" w:color="000000" w:fill="D9D9D9"/>
            <w:noWrap/>
            <w:hideMark/>
          </w:tcPr>
          <w:p w14:paraId="6E00E48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- 7</w:t>
            </w:r>
          </w:p>
        </w:tc>
        <w:tc>
          <w:tcPr>
            <w:tcW w:w="200" w:type="dxa"/>
            <w:tcBorders>
              <w:top w:val="nil"/>
              <w:left w:val="nil"/>
              <w:bottom w:val="nil"/>
              <w:right w:val="nil"/>
            </w:tcBorders>
            <w:shd w:val="clear" w:color="000000" w:fill="D9D9D9"/>
            <w:noWrap/>
            <w:hideMark/>
          </w:tcPr>
          <w:p w14:paraId="334B02D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5FB944E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619443D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D9D9D9"/>
            <w:noWrap/>
            <w:hideMark/>
          </w:tcPr>
          <w:p w14:paraId="0FFBF36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4FB5EE9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118F02D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366C4F0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709" w:type="dxa"/>
            <w:tcBorders>
              <w:top w:val="nil"/>
              <w:left w:val="nil"/>
              <w:bottom w:val="nil"/>
              <w:right w:val="nil"/>
            </w:tcBorders>
            <w:shd w:val="clear" w:color="000000" w:fill="D9D9D9"/>
            <w:noWrap/>
            <w:hideMark/>
          </w:tcPr>
          <w:p w14:paraId="74210C2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19</w:t>
            </w:r>
          </w:p>
        </w:tc>
        <w:tc>
          <w:tcPr>
            <w:tcW w:w="160" w:type="dxa"/>
            <w:tcBorders>
              <w:top w:val="nil"/>
              <w:left w:val="nil"/>
              <w:bottom w:val="nil"/>
              <w:right w:val="nil"/>
            </w:tcBorders>
            <w:shd w:val="clear" w:color="000000" w:fill="D9D9D9"/>
            <w:noWrap/>
            <w:hideMark/>
          </w:tcPr>
          <w:p w14:paraId="32DCD02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5C2A057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532080E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20FDA2C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3D5AF1C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5B0653FC" w14:textId="77777777" w:rsidTr="006652DF">
        <w:trPr>
          <w:trHeight w:val="300"/>
        </w:trPr>
        <w:tc>
          <w:tcPr>
            <w:tcW w:w="1008" w:type="dxa"/>
            <w:tcBorders>
              <w:top w:val="nil"/>
              <w:left w:val="nil"/>
              <w:bottom w:val="nil"/>
              <w:right w:val="nil"/>
            </w:tcBorders>
            <w:shd w:val="clear" w:color="000000" w:fill="FFFFFF"/>
            <w:noWrap/>
            <w:hideMark/>
          </w:tcPr>
          <w:p w14:paraId="158D5C74"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FW.Aga</w:t>
            </w:r>
          </w:p>
        </w:tc>
        <w:tc>
          <w:tcPr>
            <w:tcW w:w="567" w:type="dxa"/>
            <w:tcBorders>
              <w:top w:val="nil"/>
              <w:left w:val="nil"/>
              <w:bottom w:val="nil"/>
              <w:right w:val="nil"/>
            </w:tcBorders>
            <w:shd w:val="clear" w:color="000000" w:fill="FFFFFF"/>
            <w:noWrap/>
            <w:hideMark/>
          </w:tcPr>
          <w:p w14:paraId="6B209DA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567" w:type="dxa"/>
            <w:tcBorders>
              <w:top w:val="nil"/>
              <w:left w:val="nil"/>
              <w:bottom w:val="nil"/>
              <w:right w:val="nil"/>
            </w:tcBorders>
            <w:shd w:val="clear" w:color="000000" w:fill="FFFFFF"/>
            <w:noWrap/>
            <w:hideMark/>
          </w:tcPr>
          <w:p w14:paraId="5D4C6BB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57CCAB0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FFFFFF"/>
            <w:noWrap/>
            <w:hideMark/>
          </w:tcPr>
          <w:p w14:paraId="61CA5F8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FFFFFF"/>
            <w:noWrap/>
            <w:hideMark/>
          </w:tcPr>
          <w:p w14:paraId="2BBF56B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666DBB4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nil"/>
              <w:left w:val="nil"/>
              <w:bottom w:val="nil"/>
              <w:right w:val="nil"/>
            </w:tcBorders>
            <w:shd w:val="clear" w:color="000000" w:fill="FFFFFF"/>
            <w:noWrap/>
            <w:hideMark/>
          </w:tcPr>
          <w:p w14:paraId="1AB6CA7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3</w:t>
            </w:r>
          </w:p>
        </w:tc>
        <w:tc>
          <w:tcPr>
            <w:tcW w:w="708" w:type="dxa"/>
            <w:tcBorders>
              <w:top w:val="nil"/>
              <w:left w:val="nil"/>
              <w:bottom w:val="nil"/>
              <w:right w:val="nil"/>
            </w:tcBorders>
            <w:shd w:val="clear" w:color="000000" w:fill="FFFFFF"/>
            <w:noWrap/>
            <w:hideMark/>
          </w:tcPr>
          <w:p w14:paraId="7181329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- 7</w:t>
            </w:r>
          </w:p>
        </w:tc>
        <w:tc>
          <w:tcPr>
            <w:tcW w:w="160" w:type="dxa"/>
            <w:tcBorders>
              <w:top w:val="nil"/>
              <w:left w:val="nil"/>
              <w:bottom w:val="nil"/>
              <w:right w:val="nil"/>
            </w:tcBorders>
            <w:shd w:val="clear" w:color="000000" w:fill="FFFFFF"/>
            <w:noWrap/>
            <w:hideMark/>
          </w:tcPr>
          <w:p w14:paraId="047F512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235A28B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54D856C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FFFFFF"/>
            <w:noWrap/>
            <w:hideMark/>
          </w:tcPr>
          <w:p w14:paraId="0A871FB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7CD955A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38B79FC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7779E42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1A33330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10 ; 11</w:t>
            </w:r>
          </w:p>
        </w:tc>
        <w:tc>
          <w:tcPr>
            <w:tcW w:w="632" w:type="dxa"/>
            <w:tcBorders>
              <w:top w:val="nil"/>
              <w:left w:val="nil"/>
              <w:bottom w:val="nil"/>
              <w:right w:val="nil"/>
            </w:tcBorders>
            <w:shd w:val="clear" w:color="000000" w:fill="FFFFFF"/>
            <w:noWrap/>
            <w:hideMark/>
          </w:tcPr>
          <w:p w14:paraId="393901C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17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- 30</w:t>
            </w:r>
          </w:p>
        </w:tc>
      </w:tr>
      <w:tr w:rsidR="006652DF" w:rsidRPr="006652DF" w14:paraId="53BE4DBA" w14:textId="77777777" w:rsidTr="006652DF">
        <w:trPr>
          <w:trHeight w:val="300"/>
        </w:trPr>
        <w:tc>
          <w:tcPr>
            <w:tcW w:w="1008" w:type="dxa"/>
            <w:tcBorders>
              <w:top w:val="nil"/>
              <w:left w:val="nil"/>
              <w:bottom w:val="nil"/>
              <w:right w:val="nil"/>
            </w:tcBorders>
            <w:shd w:val="clear" w:color="000000" w:fill="D9D9D9"/>
            <w:noWrap/>
            <w:hideMark/>
          </w:tcPr>
          <w:p w14:paraId="1CD0CDD4"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FIR.Avi</w:t>
            </w:r>
          </w:p>
        </w:tc>
        <w:tc>
          <w:tcPr>
            <w:tcW w:w="567" w:type="dxa"/>
            <w:tcBorders>
              <w:top w:val="nil"/>
              <w:left w:val="nil"/>
              <w:bottom w:val="nil"/>
              <w:right w:val="nil"/>
            </w:tcBorders>
            <w:shd w:val="clear" w:color="000000" w:fill="D9D9D9"/>
            <w:noWrap/>
            <w:hideMark/>
          </w:tcPr>
          <w:p w14:paraId="11750B5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567" w:type="dxa"/>
            <w:tcBorders>
              <w:top w:val="nil"/>
              <w:left w:val="nil"/>
              <w:bottom w:val="nil"/>
              <w:right w:val="nil"/>
            </w:tcBorders>
            <w:shd w:val="clear" w:color="000000" w:fill="D9D9D9"/>
            <w:noWrap/>
            <w:hideMark/>
          </w:tcPr>
          <w:p w14:paraId="5240F3D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20D6E31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D9D9D9"/>
            <w:noWrap/>
            <w:hideMark/>
          </w:tcPr>
          <w:p w14:paraId="6ED2790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D9D9D9"/>
            <w:noWrap/>
            <w:hideMark/>
          </w:tcPr>
          <w:p w14:paraId="1B7966D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1B6C396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851" w:type="dxa"/>
            <w:tcBorders>
              <w:top w:val="nil"/>
              <w:left w:val="nil"/>
              <w:bottom w:val="nil"/>
              <w:right w:val="nil"/>
            </w:tcBorders>
            <w:shd w:val="clear" w:color="000000" w:fill="D9D9D9"/>
            <w:noWrap/>
            <w:hideMark/>
          </w:tcPr>
          <w:p w14:paraId="21E1F2D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 ; 5 ; 9 ; 12</w:t>
            </w:r>
          </w:p>
        </w:tc>
        <w:tc>
          <w:tcPr>
            <w:tcW w:w="708" w:type="dxa"/>
            <w:tcBorders>
              <w:top w:val="nil"/>
              <w:left w:val="nil"/>
              <w:bottom w:val="nil"/>
              <w:right w:val="nil"/>
            </w:tcBorders>
            <w:shd w:val="clear" w:color="000000" w:fill="D9D9D9"/>
            <w:noWrap/>
            <w:hideMark/>
          </w:tcPr>
          <w:p w14:paraId="742DE93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- 32</w:t>
            </w:r>
          </w:p>
        </w:tc>
        <w:tc>
          <w:tcPr>
            <w:tcW w:w="160" w:type="dxa"/>
            <w:tcBorders>
              <w:top w:val="nil"/>
              <w:left w:val="nil"/>
              <w:bottom w:val="nil"/>
              <w:right w:val="nil"/>
            </w:tcBorders>
            <w:shd w:val="clear" w:color="000000" w:fill="D9D9D9"/>
            <w:noWrap/>
            <w:hideMark/>
          </w:tcPr>
          <w:p w14:paraId="2058A4E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03BB9F3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4FD7E4A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709" w:type="dxa"/>
            <w:tcBorders>
              <w:top w:val="nil"/>
              <w:left w:val="nil"/>
              <w:bottom w:val="nil"/>
              <w:right w:val="nil"/>
            </w:tcBorders>
            <w:shd w:val="clear" w:color="000000" w:fill="D9D9D9"/>
            <w:noWrap/>
            <w:hideMark/>
          </w:tcPr>
          <w:p w14:paraId="286B0B0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160" w:type="dxa"/>
            <w:tcBorders>
              <w:top w:val="nil"/>
              <w:left w:val="nil"/>
              <w:bottom w:val="nil"/>
              <w:right w:val="nil"/>
            </w:tcBorders>
            <w:shd w:val="clear" w:color="000000" w:fill="D9D9D9"/>
            <w:noWrap/>
            <w:hideMark/>
          </w:tcPr>
          <w:p w14:paraId="2D92956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6B7B9C4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0026A77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65F3FE4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5C701AB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312B9494" w14:textId="77777777" w:rsidTr="006652DF">
        <w:trPr>
          <w:trHeight w:val="560"/>
        </w:trPr>
        <w:tc>
          <w:tcPr>
            <w:tcW w:w="1008" w:type="dxa"/>
            <w:tcBorders>
              <w:top w:val="nil"/>
              <w:left w:val="nil"/>
              <w:bottom w:val="nil"/>
              <w:right w:val="nil"/>
            </w:tcBorders>
            <w:shd w:val="clear" w:color="000000" w:fill="FFFFFF"/>
            <w:noWrap/>
            <w:hideMark/>
          </w:tcPr>
          <w:p w14:paraId="46B8B196"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lastRenderedPageBreak/>
              <w:t>FIR.Aga</w:t>
            </w:r>
          </w:p>
        </w:tc>
        <w:tc>
          <w:tcPr>
            <w:tcW w:w="567" w:type="dxa"/>
            <w:tcBorders>
              <w:top w:val="nil"/>
              <w:left w:val="nil"/>
              <w:bottom w:val="nil"/>
              <w:right w:val="nil"/>
            </w:tcBorders>
            <w:shd w:val="clear" w:color="000000" w:fill="FFFFFF"/>
            <w:noWrap/>
            <w:hideMark/>
          </w:tcPr>
          <w:p w14:paraId="3681993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14</w:t>
            </w:r>
          </w:p>
        </w:tc>
        <w:tc>
          <w:tcPr>
            <w:tcW w:w="567" w:type="dxa"/>
            <w:tcBorders>
              <w:top w:val="nil"/>
              <w:left w:val="nil"/>
              <w:bottom w:val="nil"/>
              <w:right w:val="nil"/>
            </w:tcBorders>
            <w:shd w:val="clear" w:color="000000" w:fill="FFFFFF"/>
            <w:noWrap/>
            <w:hideMark/>
          </w:tcPr>
          <w:p w14:paraId="24E0998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w:t>
            </w:r>
          </w:p>
        </w:tc>
        <w:tc>
          <w:tcPr>
            <w:tcW w:w="567" w:type="dxa"/>
            <w:tcBorders>
              <w:top w:val="nil"/>
              <w:left w:val="nil"/>
              <w:bottom w:val="nil"/>
              <w:right w:val="nil"/>
            </w:tcBorders>
            <w:shd w:val="clear" w:color="000000" w:fill="FFFFFF"/>
            <w:hideMark/>
          </w:tcPr>
          <w:p w14:paraId="576E4D6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 ; 5 ; 6 ; 11</w:t>
            </w:r>
          </w:p>
        </w:tc>
        <w:tc>
          <w:tcPr>
            <w:tcW w:w="992" w:type="dxa"/>
            <w:tcBorders>
              <w:top w:val="nil"/>
              <w:left w:val="nil"/>
              <w:bottom w:val="nil"/>
              <w:right w:val="nil"/>
            </w:tcBorders>
            <w:shd w:val="clear" w:color="000000" w:fill="FFFFFF"/>
            <w:noWrap/>
            <w:hideMark/>
          </w:tcPr>
          <w:p w14:paraId="3D9CF45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- 68</w:t>
            </w:r>
          </w:p>
        </w:tc>
        <w:tc>
          <w:tcPr>
            <w:tcW w:w="200" w:type="dxa"/>
            <w:tcBorders>
              <w:top w:val="nil"/>
              <w:left w:val="nil"/>
              <w:bottom w:val="nil"/>
              <w:right w:val="nil"/>
            </w:tcBorders>
            <w:shd w:val="clear" w:color="000000" w:fill="FFFFFF"/>
            <w:noWrap/>
            <w:hideMark/>
          </w:tcPr>
          <w:p w14:paraId="49575C3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377A82C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851" w:type="dxa"/>
            <w:tcBorders>
              <w:top w:val="nil"/>
              <w:left w:val="nil"/>
              <w:bottom w:val="nil"/>
              <w:right w:val="nil"/>
            </w:tcBorders>
            <w:shd w:val="clear" w:color="000000" w:fill="FFFFFF"/>
            <w:noWrap/>
            <w:hideMark/>
          </w:tcPr>
          <w:p w14:paraId="71F8C8D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 ; 5 ; 6</w:t>
            </w:r>
          </w:p>
        </w:tc>
        <w:tc>
          <w:tcPr>
            <w:tcW w:w="708" w:type="dxa"/>
            <w:tcBorders>
              <w:top w:val="nil"/>
              <w:left w:val="nil"/>
              <w:bottom w:val="nil"/>
              <w:right w:val="nil"/>
            </w:tcBorders>
            <w:shd w:val="clear" w:color="000000" w:fill="FFFFFF"/>
            <w:noWrap/>
            <w:hideMark/>
          </w:tcPr>
          <w:p w14:paraId="703EB0A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- 385</w:t>
            </w:r>
          </w:p>
        </w:tc>
        <w:tc>
          <w:tcPr>
            <w:tcW w:w="160" w:type="dxa"/>
            <w:tcBorders>
              <w:top w:val="nil"/>
              <w:left w:val="nil"/>
              <w:bottom w:val="nil"/>
              <w:right w:val="nil"/>
            </w:tcBorders>
            <w:shd w:val="clear" w:color="000000" w:fill="FFFFFF"/>
            <w:noWrap/>
            <w:hideMark/>
          </w:tcPr>
          <w:p w14:paraId="300D00B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7DE14FE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47C378E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709" w:type="dxa"/>
            <w:tcBorders>
              <w:top w:val="nil"/>
              <w:left w:val="nil"/>
              <w:bottom w:val="nil"/>
              <w:right w:val="nil"/>
            </w:tcBorders>
            <w:shd w:val="clear" w:color="000000" w:fill="FFFFFF"/>
            <w:noWrap/>
            <w:hideMark/>
          </w:tcPr>
          <w:p w14:paraId="31023F6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160" w:type="dxa"/>
            <w:tcBorders>
              <w:top w:val="nil"/>
              <w:left w:val="nil"/>
              <w:bottom w:val="nil"/>
              <w:right w:val="nil"/>
            </w:tcBorders>
            <w:shd w:val="clear" w:color="000000" w:fill="FFFFFF"/>
            <w:noWrap/>
            <w:hideMark/>
          </w:tcPr>
          <w:p w14:paraId="3E4784E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58C238A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2E045B5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783148C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15C13C1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28376F3E" w14:textId="77777777" w:rsidTr="006652DF">
        <w:trPr>
          <w:trHeight w:val="300"/>
        </w:trPr>
        <w:tc>
          <w:tcPr>
            <w:tcW w:w="1008" w:type="dxa"/>
            <w:tcBorders>
              <w:top w:val="nil"/>
              <w:left w:val="nil"/>
              <w:bottom w:val="nil"/>
              <w:right w:val="nil"/>
            </w:tcBorders>
            <w:shd w:val="clear" w:color="000000" w:fill="D9D9D9"/>
            <w:noWrap/>
            <w:hideMark/>
          </w:tcPr>
          <w:p w14:paraId="6FEFB127"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VitCFM.Avi</w:t>
            </w:r>
          </w:p>
        </w:tc>
        <w:tc>
          <w:tcPr>
            <w:tcW w:w="567" w:type="dxa"/>
            <w:tcBorders>
              <w:top w:val="nil"/>
              <w:left w:val="nil"/>
              <w:bottom w:val="nil"/>
              <w:right w:val="nil"/>
            </w:tcBorders>
            <w:shd w:val="clear" w:color="000000" w:fill="D9D9D9"/>
            <w:noWrap/>
            <w:hideMark/>
          </w:tcPr>
          <w:p w14:paraId="596C18A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7</w:t>
            </w:r>
          </w:p>
        </w:tc>
        <w:tc>
          <w:tcPr>
            <w:tcW w:w="567" w:type="dxa"/>
            <w:tcBorders>
              <w:top w:val="nil"/>
              <w:left w:val="nil"/>
              <w:bottom w:val="nil"/>
              <w:right w:val="nil"/>
            </w:tcBorders>
            <w:shd w:val="clear" w:color="000000" w:fill="D9D9D9"/>
            <w:noWrap/>
            <w:hideMark/>
          </w:tcPr>
          <w:p w14:paraId="22F9D53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657695E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 ; 11</w:t>
            </w:r>
          </w:p>
        </w:tc>
        <w:tc>
          <w:tcPr>
            <w:tcW w:w="992" w:type="dxa"/>
            <w:tcBorders>
              <w:top w:val="nil"/>
              <w:left w:val="nil"/>
              <w:bottom w:val="nil"/>
              <w:right w:val="nil"/>
            </w:tcBorders>
            <w:shd w:val="clear" w:color="000000" w:fill="D9D9D9"/>
            <w:noWrap/>
            <w:hideMark/>
          </w:tcPr>
          <w:p w14:paraId="116255E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- 9</w:t>
            </w:r>
          </w:p>
        </w:tc>
        <w:tc>
          <w:tcPr>
            <w:tcW w:w="200" w:type="dxa"/>
            <w:tcBorders>
              <w:top w:val="nil"/>
              <w:left w:val="nil"/>
              <w:bottom w:val="nil"/>
              <w:right w:val="nil"/>
            </w:tcBorders>
            <w:shd w:val="clear" w:color="000000" w:fill="D9D9D9"/>
            <w:noWrap/>
            <w:hideMark/>
          </w:tcPr>
          <w:p w14:paraId="048555B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0A36BB3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D9D9D9"/>
            <w:noWrap/>
            <w:hideMark/>
          </w:tcPr>
          <w:p w14:paraId="70B9872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7 ; 12</w:t>
            </w:r>
          </w:p>
        </w:tc>
        <w:tc>
          <w:tcPr>
            <w:tcW w:w="708" w:type="dxa"/>
            <w:tcBorders>
              <w:top w:val="nil"/>
              <w:left w:val="nil"/>
              <w:bottom w:val="nil"/>
              <w:right w:val="nil"/>
            </w:tcBorders>
            <w:shd w:val="clear" w:color="000000" w:fill="D9D9D9"/>
            <w:noWrap/>
            <w:hideMark/>
          </w:tcPr>
          <w:p w14:paraId="18837A6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- 20</w:t>
            </w:r>
          </w:p>
        </w:tc>
        <w:tc>
          <w:tcPr>
            <w:tcW w:w="160" w:type="dxa"/>
            <w:tcBorders>
              <w:top w:val="nil"/>
              <w:left w:val="nil"/>
              <w:bottom w:val="nil"/>
              <w:right w:val="nil"/>
            </w:tcBorders>
            <w:shd w:val="clear" w:color="000000" w:fill="D9D9D9"/>
            <w:noWrap/>
            <w:hideMark/>
          </w:tcPr>
          <w:p w14:paraId="06FC808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1FDBF8E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54E8E71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709" w:type="dxa"/>
            <w:tcBorders>
              <w:top w:val="nil"/>
              <w:left w:val="nil"/>
              <w:bottom w:val="nil"/>
              <w:right w:val="nil"/>
            </w:tcBorders>
            <w:shd w:val="clear" w:color="000000" w:fill="D9D9D9"/>
            <w:noWrap/>
            <w:hideMark/>
          </w:tcPr>
          <w:p w14:paraId="05F7805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27</w:t>
            </w:r>
          </w:p>
        </w:tc>
        <w:tc>
          <w:tcPr>
            <w:tcW w:w="160" w:type="dxa"/>
            <w:tcBorders>
              <w:top w:val="nil"/>
              <w:left w:val="nil"/>
              <w:bottom w:val="nil"/>
              <w:right w:val="nil"/>
            </w:tcBorders>
            <w:shd w:val="clear" w:color="000000" w:fill="D9D9D9"/>
            <w:noWrap/>
            <w:hideMark/>
          </w:tcPr>
          <w:p w14:paraId="0303F2B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4982E6D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3DDDAA5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D9D9D9"/>
            <w:noWrap/>
            <w:hideMark/>
          </w:tcPr>
          <w:p w14:paraId="7BDC578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632" w:type="dxa"/>
            <w:tcBorders>
              <w:top w:val="nil"/>
              <w:left w:val="nil"/>
              <w:bottom w:val="nil"/>
              <w:right w:val="nil"/>
            </w:tcBorders>
            <w:shd w:val="clear" w:color="000000" w:fill="D9D9D9"/>
            <w:noWrap/>
            <w:hideMark/>
          </w:tcPr>
          <w:p w14:paraId="4F165E9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23,00</w:t>
            </w:r>
          </w:p>
        </w:tc>
      </w:tr>
      <w:tr w:rsidR="006652DF" w:rsidRPr="006652DF" w14:paraId="71F141D0" w14:textId="77777777" w:rsidTr="006652DF">
        <w:trPr>
          <w:trHeight w:val="560"/>
        </w:trPr>
        <w:tc>
          <w:tcPr>
            <w:tcW w:w="1008" w:type="dxa"/>
            <w:tcBorders>
              <w:top w:val="nil"/>
              <w:left w:val="nil"/>
              <w:bottom w:val="nil"/>
              <w:right w:val="nil"/>
            </w:tcBorders>
            <w:shd w:val="clear" w:color="000000" w:fill="FFFFFF"/>
            <w:noWrap/>
            <w:hideMark/>
          </w:tcPr>
          <w:p w14:paraId="71B373B0"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VitCDM.Avi</w:t>
            </w:r>
          </w:p>
        </w:tc>
        <w:tc>
          <w:tcPr>
            <w:tcW w:w="567" w:type="dxa"/>
            <w:tcBorders>
              <w:top w:val="nil"/>
              <w:left w:val="nil"/>
              <w:bottom w:val="nil"/>
              <w:right w:val="nil"/>
            </w:tcBorders>
            <w:shd w:val="clear" w:color="000000" w:fill="FFFFFF"/>
            <w:noWrap/>
            <w:hideMark/>
          </w:tcPr>
          <w:p w14:paraId="0C6A22C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567" w:type="dxa"/>
            <w:tcBorders>
              <w:top w:val="nil"/>
              <w:left w:val="nil"/>
              <w:bottom w:val="nil"/>
              <w:right w:val="nil"/>
            </w:tcBorders>
            <w:shd w:val="clear" w:color="000000" w:fill="FFFFFF"/>
            <w:noWrap/>
            <w:hideMark/>
          </w:tcPr>
          <w:p w14:paraId="5EC5A95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hideMark/>
          </w:tcPr>
          <w:p w14:paraId="5FFDBE5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 ; 4 ; 8 ; 9 ; 11 ;12</w:t>
            </w:r>
          </w:p>
        </w:tc>
        <w:tc>
          <w:tcPr>
            <w:tcW w:w="992" w:type="dxa"/>
            <w:tcBorders>
              <w:top w:val="nil"/>
              <w:left w:val="nil"/>
              <w:bottom w:val="nil"/>
              <w:right w:val="nil"/>
            </w:tcBorders>
            <w:shd w:val="clear" w:color="000000" w:fill="FFFFFF"/>
            <w:noWrap/>
            <w:hideMark/>
          </w:tcPr>
          <w:p w14:paraId="247C5D6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18</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- 22</w:t>
            </w:r>
          </w:p>
        </w:tc>
        <w:tc>
          <w:tcPr>
            <w:tcW w:w="200" w:type="dxa"/>
            <w:tcBorders>
              <w:top w:val="nil"/>
              <w:left w:val="nil"/>
              <w:bottom w:val="nil"/>
              <w:right w:val="nil"/>
            </w:tcBorders>
            <w:shd w:val="clear" w:color="000000" w:fill="FFFFFF"/>
            <w:noWrap/>
            <w:hideMark/>
          </w:tcPr>
          <w:p w14:paraId="521943E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2E4E502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FFFFFF"/>
            <w:noWrap/>
            <w:hideMark/>
          </w:tcPr>
          <w:p w14:paraId="0D64D4B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9 ; 12</w:t>
            </w:r>
          </w:p>
        </w:tc>
        <w:tc>
          <w:tcPr>
            <w:tcW w:w="708" w:type="dxa"/>
            <w:tcBorders>
              <w:top w:val="nil"/>
              <w:left w:val="nil"/>
              <w:bottom w:val="nil"/>
              <w:right w:val="nil"/>
            </w:tcBorders>
            <w:shd w:val="clear" w:color="000000" w:fill="FFFFFF"/>
            <w:noWrap/>
            <w:hideMark/>
          </w:tcPr>
          <w:p w14:paraId="704111F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7</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- 784</w:t>
            </w:r>
          </w:p>
        </w:tc>
        <w:tc>
          <w:tcPr>
            <w:tcW w:w="160" w:type="dxa"/>
            <w:tcBorders>
              <w:top w:val="nil"/>
              <w:left w:val="nil"/>
              <w:bottom w:val="nil"/>
              <w:right w:val="nil"/>
            </w:tcBorders>
            <w:shd w:val="clear" w:color="000000" w:fill="FFFFFF"/>
            <w:noWrap/>
            <w:hideMark/>
          </w:tcPr>
          <w:p w14:paraId="0B5B5EB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4B4D63A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851" w:type="dxa"/>
            <w:tcBorders>
              <w:top w:val="nil"/>
              <w:left w:val="nil"/>
              <w:bottom w:val="nil"/>
              <w:right w:val="nil"/>
            </w:tcBorders>
            <w:shd w:val="clear" w:color="000000" w:fill="FFFFFF"/>
            <w:noWrap/>
            <w:hideMark/>
          </w:tcPr>
          <w:p w14:paraId="72F3E67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 ; 4 ; 11</w:t>
            </w:r>
          </w:p>
        </w:tc>
        <w:tc>
          <w:tcPr>
            <w:tcW w:w="709" w:type="dxa"/>
            <w:tcBorders>
              <w:top w:val="nil"/>
              <w:left w:val="nil"/>
              <w:bottom w:val="nil"/>
              <w:right w:val="nil"/>
            </w:tcBorders>
            <w:shd w:val="clear" w:color="000000" w:fill="FFFFFF"/>
            <w:noWrap/>
            <w:hideMark/>
          </w:tcPr>
          <w:p w14:paraId="11DD27F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- 43</w:t>
            </w:r>
          </w:p>
        </w:tc>
        <w:tc>
          <w:tcPr>
            <w:tcW w:w="160" w:type="dxa"/>
            <w:tcBorders>
              <w:top w:val="nil"/>
              <w:left w:val="nil"/>
              <w:bottom w:val="nil"/>
              <w:right w:val="nil"/>
            </w:tcBorders>
            <w:shd w:val="clear" w:color="000000" w:fill="FFFFFF"/>
            <w:noWrap/>
            <w:hideMark/>
          </w:tcPr>
          <w:p w14:paraId="6C5211C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238004B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01418DA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4AE47A8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3A3DDA6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18301745" w14:textId="77777777" w:rsidTr="006652DF">
        <w:trPr>
          <w:trHeight w:val="300"/>
        </w:trPr>
        <w:tc>
          <w:tcPr>
            <w:tcW w:w="1008" w:type="dxa"/>
            <w:tcBorders>
              <w:top w:val="nil"/>
              <w:left w:val="nil"/>
              <w:bottom w:val="nil"/>
              <w:right w:val="nil"/>
            </w:tcBorders>
            <w:shd w:val="clear" w:color="000000" w:fill="D9D9D9"/>
            <w:noWrap/>
            <w:hideMark/>
          </w:tcPr>
          <w:p w14:paraId="4F76CDEF"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DMW.Avi</w:t>
            </w:r>
          </w:p>
        </w:tc>
        <w:tc>
          <w:tcPr>
            <w:tcW w:w="567" w:type="dxa"/>
            <w:tcBorders>
              <w:top w:val="nil"/>
              <w:left w:val="nil"/>
              <w:bottom w:val="nil"/>
              <w:right w:val="nil"/>
            </w:tcBorders>
            <w:shd w:val="clear" w:color="000000" w:fill="D9D9D9"/>
            <w:noWrap/>
            <w:hideMark/>
          </w:tcPr>
          <w:p w14:paraId="1BC72FF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43876D3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3D75E56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D9D9D9"/>
            <w:noWrap/>
            <w:hideMark/>
          </w:tcPr>
          <w:p w14:paraId="6EEF1F2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D9D9D9"/>
            <w:noWrap/>
            <w:hideMark/>
          </w:tcPr>
          <w:p w14:paraId="668BCB0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1BF7AE1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nil"/>
              <w:left w:val="nil"/>
              <w:bottom w:val="nil"/>
              <w:right w:val="nil"/>
            </w:tcBorders>
            <w:shd w:val="clear" w:color="000000" w:fill="D9D9D9"/>
            <w:noWrap/>
            <w:hideMark/>
          </w:tcPr>
          <w:p w14:paraId="07DF9D0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6</w:t>
            </w:r>
          </w:p>
        </w:tc>
        <w:tc>
          <w:tcPr>
            <w:tcW w:w="708" w:type="dxa"/>
            <w:tcBorders>
              <w:top w:val="nil"/>
              <w:left w:val="nil"/>
              <w:bottom w:val="nil"/>
              <w:right w:val="nil"/>
            </w:tcBorders>
            <w:shd w:val="clear" w:color="000000" w:fill="D9D9D9"/>
            <w:noWrap/>
            <w:hideMark/>
          </w:tcPr>
          <w:p w14:paraId="2898C1A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w:t>
            </w:r>
          </w:p>
        </w:tc>
        <w:tc>
          <w:tcPr>
            <w:tcW w:w="160" w:type="dxa"/>
            <w:tcBorders>
              <w:top w:val="nil"/>
              <w:left w:val="nil"/>
              <w:bottom w:val="nil"/>
              <w:right w:val="nil"/>
            </w:tcBorders>
            <w:shd w:val="clear" w:color="000000" w:fill="D9D9D9"/>
            <w:noWrap/>
            <w:hideMark/>
          </w:tcPr>
          <w:p w14:paraId="0749296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1CC5840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6066917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D9D9D9"/>
            <w:noWrap/>
            <w:hideMark/>
          </w:tcPr>
          <w:p w14:paraId="59E7D11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2D4DE63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20853A3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321774A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48E3CDC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6659A58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7924ECAE" w14:textId="77777777" w:rsidTr="006652DF">
        <w:trPr>
          <w:trHeight w:val="300"/>
        </w:trPr>
        <w:tc>
          <w:tcPr>
            <w:tcW w:w="1008" w:type="dxa"/>
            <w:tcBorders>
              <w:top w:val="nil"/>
              <w:left w:val="nil"/>
              <w:bottom w:val="nil"/>
              <w:right w:val="nil"/>
            </w:tcBorders>
            <w:shd w:val="clear" w:color="000000" w:fill="FFFFFF"/>
            <w:noWrap/>
            <w:hideMark/>
          </w:tcPr>
          <w:p w14:paraId="07F962C6"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SSC.Avi</w:t>
            </w:r>
          </w:p>
        </w:tc>
        <w:tc>
          <w:tcPr>
            <w:tcW w:w="567" w:type="dxa"/>
            <w:tcBorders>
              <w:top w:val="nil"/>
              <w:left w:val="nil"/>
              <w:bottom w:val="nil"/>
              <w:right w:val="nil"/>
            </w:tcBorders>
            <w:shd w:val="clear" w:color="000000" w:fill="FFFFFF"/>
            <w:noWrap/>
            <w:hideMark/>
          </w:tcPr>
          <w:p w14:paraId="054EFBF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14</w:t>
            </w:r>
          </w:p>
        </w:tc>
        <w:tc>
          <w:tcPr>
            <w:tcW w:w="567" w:type="dxa"/>
            <w:tcBorders>
              <w:top w:val="nil"/>
              <w:left w:val="nil"/>
              <w:bottom w:val="nil"/>
              <w:right w:val="nil"/>
            </w:tcBorders>
            <w:shd w:val="clear" w:color="000000" w:fill="FFFFFF"/>
            <w:noWrap/>
            <w:hideMark/>
          </w:tcPr>
          <w:p w14:paraId="4224980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567" w:type="dxa"/>
            <w:tcBorders>
              <w:top w:val="nil"/>
              <w:left w:val="nil"/>
              <w:bottom w:val="nil"/>
              <w:right w:val="nil"/>
            </w:tcBorders>
            <w:shd w:val="clear" w:color="000000" w:fill="FFFFFF"/>
            <w:noWrap/>
            <w:hideMark/>
          </w:tcPr>
          <w:p w14:paraId="10EA37D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5 ; 10 ; 11</w:t>
            </w:r>
          </w:p>
        </w:tc>
        <w:tc>
          <w:tcPr>
            <w:tcW w:w="992" w:type="dxa"/>
            <w:tcBorders>
              <w:top w:val="nil"/>
              <w:left w:val="nil"/>
              <w:bottom w:val="nil"/>
              <w:right w:val="nil"/>
            </w:tcBorders>
            <w:shd w:val="clear" w:color="000000" w:fill="FFFFFF"/>
            <w:noWrap/>
            <w:hideMark/>
          </w:tcPr>
          <w:p w14:paraId="046C018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- 25</w:t>
            </w:r>
          </w:p>
        </w:tc>
        <w:tc>
          <w:tcPr>
            <w:tcW w:w="200" w:type="dxa"/>
            <w:tcBorders>
              <w:top w:val="nil"/>
              <w:left w:val="nil"/>
              <w:bottom w:val="nil"/>
              <w:right w:val="nil"/>
            </w:tcBorders>
            <w:shd w:val="clear" w:color="000000" w:fill="FFFFFF"/>
            <w:noWrap/>
            <w:hideMark/>
          </w:tcPr>
          <w:p w14:paraId="3E835F2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50E61D1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FFFFFF"/>
            <w:noWrap/>
            <w:hideMark/>
          </w:tcPr>
          <w:p w14:paraId="26F768A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 ; 9 ; 11</w:t>
            </w:r>
          </w:p>
        </w:tc>
        <w:tc>
          <w:tcPr>
            <w:tcW w:w="708" w:type="dxa"/>
            <w:tcBorders>
              <w:top w:val="nil"/>
              <w:left w:val="nil"/>
              <w:bottom w:val="nil"/>
              <w:right w:val="nil"/>
            </w:tcBorders>
            <w:shd w:val="clear" w:color="000000" w:fill="FFFFFF"/>
            <w:noWrap/>
            <w:hideMark/>
          </w:tcPr>
          <w:p w14:paraId="7C76B25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- 27</w:t>
            </w:r>
          </w:p>
        </w:tc>
        <w:tc>
          <w:tcPr>
            <w:tcW w:w="160" w:type="dxa"/>
            <w:tcBorders>
              <w:top w:val="nil"/>
              <w:left w:val="nil"/>
              <w:bottom w:val="nil"/>
              <w:right w:val="nil"/>
            </w:tcBorders>
            <w:shd w:val="clear" w:color="000000" w:fill="FFFFFF"/>
            <w:noWrap/>
            <w:hideMark/>
          </w:tcPr>
          <w:p w14:paraId="70A3E3F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5A6D04B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851" w:type="dxa"/>
            <w:tcBorders>
              <w:top w:val="nil"/>
              <w:left w:val="nil"/>
              <w:bottom w:val="nil"/>
              <w:right w:val="nil"/>
            </w:tcBorders>
            <w:shd w:val="clear" w:color="000000" w:fill="FFFFFF"/>
            <w:noWrap/>
            <w:hideMark/>
          </w:tcPr>
          <w:p w14:paraId="235A00A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3 ; 6</w:t>
            </w:r>
          </w:p>
        </w:tc>
        <w:tc>
          <w:tcPr>
            <w:tcW w:w="709" w:type="dxa"/>
            <w:tcBorders>
              <w:top w:val="nil"/>
              <w:left w:val="nil"/>
              <w:bottom w:val="nil"/>
              <w:right w:val="nil"/>
            </w:tcBorders>
            <w:shd w:val="clear" w:color="000000" w:fill="FFFFFF"/>
            <w:noWrap/>
            <w:hideMark/>
          </w:tcPr>
          <w:p w14:paraId="4ED7ADE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- 8</w:t>
            </w:r>
          </w:p>
        </w:tc>
        <w:tc>
          <w:tcPr>
            <w:tcW w:w="160" w:type="dxa"/>
            <w:tcBorders>
              <w:top w:val="nil"/>
              <w:left w:val="nil"/>
              <w:bottom w:val="nil"/>
              <w:right w:val="nil"/>
            </w:tcBorders>
            <w:shd w:val="clear" w:color="000000" w:fill="FFFFFF"/>
            <w:noWrap/>
            <w:hideMark/>
          </w:tcPr>
          <w:p w14:paraId="4338643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656898B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78B8B54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567" w:type="dxa"/>
            <w:tcBorders>
              <w:top w:val="nil"/>
              <w:left w:val="nil"/>
              <w:bottom w:val="nil"/>
              <w:right w:val="nil"/>
            </w:tcBorders>
            <w:shd w:val="clear" w:color="000000" w:fill="FFFFFF"/>
            <w:noWrap/>
            <w:hideMark/>
          </w:tcPr>
          <w:p w14:paraId="610F08C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 ; 11</w:t>
            </w:r>
          </w:p>
        </w:tc>
        <w:tc>
          <w:tcPr>
            <w:tcW w:w="632" w:type="dxa"/>
            <w:tcBorders>
              <w:top w:val="nil"/>
              <w:left w:val="nil"/>
              <w:bottom w:val="nil"/>
              <w:right w:val="nil"/>
            </w:tcBorders>
            <w:shd w:val="clear" w:color="000000" w:fill="FFFFFF"/>
            <w:noWrap/>
            <w:hideMark/>
          </w:tcPr>
          <w:p w14:paraId="18CFDB8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5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- 651</w:t>
            </w:r>
          </w:p>
        </w:tc>
      </w:tr>
      <w:tr w:rsidR="006652DF" w:rsidRPr="006652DF" w14:paraId="0D4AAF93" w14:textId="77777777" w:rsidTr="006652DF">
        <w:trPr>
          <w:trHeight w:val="300"/>
        </w:trPr>
        <w:tc>
          <w:tcPr>
            <w:tcW w:w="1008" w:type="dxa"/>
            <w:tcBorders>
              <w:top w:val="nil"/>
              <w:left w:val="nil"/>
              <w:bottom w:val="nil"/>
              <w:right w:val="nil"/>
            </w:tcBorders>
            <w:shd w:val="clear" w:color="000000" w:fill="D9D9D9"/>
            <w:noWrap/>
            <w:hideMark/>
          </w:tcPr>
          <w:p w14:paraId="1898C2FA"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GlucoseFM.Avi</w:t>
            </w:r>
          </w:p>
        </w:tc>
        <w:tc>
          <w:tcPr>
            <w:tcW w:w="567" w:type="dxa"/>
            <w:tcBorders>
              <w:top w:val="nil"/>
              <w:left w:val="nil"/>
              <w:bottom w:val="nil"/>
              <w:right w:val="nil"/>
            </w:tcBorders>
            <w:shd w:val="clear" w:color="000000" w:fill="D9D9D9"/>
            <w:noWrap/>
            <w:hideMark/>
          </w:tcPr>
          <w:p w14:paraId="377CBCB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567" w:type="dxa"/>
            <w:tcBorders>
              <w:top w:val="nil"/>
              <w:left w:val="nil"/>
              <w:bottom w:val="nil"/>
              <w:right w:val="nil"/>
            </w:tcBorders>
            <w:shd w:val="clear" w:color="000000" w:fill="D9D9D9"/>
            <w:noWrap/>
            <w:hideMark/>
          </w:tcPr>
          <w:p w14:paraId="4760DF1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6A5C80E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D9D9D9"/>
            <w:noWrap/>
            <w:hideMark/>
          </w:tcPr>
          <w:p w14:paraId="79C9F32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D9D9D9"/>
            <w:noWrap/>
            <w:hideMark/>
          </w:tcPr>
          <w:p w14:paraId="5383470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6E4912F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046865E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708" w:type="dxa"/>
            <w:tcBorders>
              <w:top w:val="nil"/>
              <w:left w:val="nil"/>
              <w:bottom w:val="nil"/>
              <w:right w:val="nil"/>
            </w:tcBorders>
            <w:shd w:val="clear" w:color="000000" w:fill="D9D9D9"/>
            <w:noWrap/>
            <w:hideMark/>
          </w:tcPr>
          <w:p w14:paraId="3419BA7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24</w:t>
            </w:r>
          </w:p>
        </w:tc>
        <w:tc>
          <w:tcPr>
            <w:tcW w:w="160" w:type="dxa"/>
            <w:tcBorders>
              <w:top w:val="nil"/>
              <w:left w:val="nil"/>
              <w:bottom w:val="nil"/>
              <w:right w:val="nil"/>
            </w:tcBorders>
            <w:shd w:val="clear" w:color="000000" w:fill="D9D9D9"/>
            <w:noWrap/>
            <w:hideMark/>
          </w:tcPr>
          <w:p w14:paraId="5A132A8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2C52E82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03A06CE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p>
        </w:tc>
        <w:tc>
          <w:tcPr>
            <w:tcW w:w="709" w:type="dxa"/>
            <w:tcBorders>
              <w:top w:val="nil"/>
              <w:left w:val="nil"/>
              <w:bottom w:val="nil"/>
              <w:right w:val="nil"/>
            </w:tcBorders>
            <w:shd w:val="clear" w:color="000000" w:fill="D9D9D9"/>
            <w:noWrap/>
            <w:hideMark/>
          </w:tcPr>
          <w:p w14:paraId="3C7F43E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11</w:t>
            </w:r>
          </w:p>
        </w:tc>
        <w:tc>
          <w:tcPr>
            <w:tcW w:w="160" w:type="dxa"/>
            <w:tcBorders>
              <w:top w:val="nil"/>
              <w:left w:val="nil"/>
              <w:bottom w:val="nil"/>
              <w:right w:val="nil"/>
            </w:tcBorders>
            <w:shd w:val="clear" w:color="000000" w:fill="D9D9D9"/>
            <w:noWrap/>
            <w:hideMark/>
          </w:tcPr>
          <w:p w14:paraId="795D725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10F7BFD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D9D9D9"/>
            <w:noWrap/>
            <w:hideMark/>
          </w:tcPr>
          <w:p w14:paraId="0B87149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582D9FE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632" w:type="dxa"/>
            <w:tcBorders>
              <w:top w:val="nil"/>
              <w:left w:val="nil"/>
              <w:bottom w:val="nil"/>
              <w:right w:val="nil"/>
            </w:tcBorders>
            <w:shd w:val="clear" w:color="000000" w:fill="D9D9D9"/>
            <w:noWrap/>
            <w:hideMark/>
          </w:tcPr>
          <w:p w14:paraId="695C197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r>
      <w:tr w:rsidR="006652DF" w:rsidRPr="006652DF" w14:paraId="61B49A3F" w14:textId="77777777" w:rsidTr="006652DF">
        <w:trPr>
          <w:trHeight w:val="840"/>
        </w:trPr>
        <w:tc>
          <w:tcPr>
            <w:tcW w:w="1008" w:type="dxa"/>
            <w:tcBorders>
              <w:top w:val="nil"/>
              <w:left w:val="nil"/>
              <w:bottom w:val="nil"/>
              <w:right w:val="nil"/>
            </w:tcBorders>
            <w:shd w:val="clear" w:color="000000" w:fill="FFFFFF"/>
            <w:noWrap/>
            <w:hideMark/>
          </w:tcPr>
          <w:p w14:paraId="053E41BE"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GlucoseDM.Avi</w:t>
            </w:r>
          </w:p>
        </w:tc>
        <w:tc>
          <w:tcPr>
            <w:tcW w:w="567" w:type="dxa"/>
            <w:tcBorders>
              <w:top w:val="nil"/>
              <w:left w:val="nil"/>
              <w:bottom w:val="nil"/>
              <w:right w:val="nil"/>
            </w:tcBorders>
            <w:shd w:val="clear" w:color="000000" w:fill="FFFFFF"/>
            <w:noWrap/>
            <w:hideMark/>
          </w:tcPr>
          <w:p w14:paraId="406CD75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11</w:t>
            </w:r>
          </w:p>
        </w:tc>
        <w:tc>
          <w:tcPr>
            <w:tcW w:w="567" w:type="dxa"/>
            <w:tcBorders>
              <w:top w:val="nil"/>
              <w:left w:val="nil"/>
              <w:bottom w:val="nil"/>
              <w:right w:val="nil"/>
            </w:tcBorders>
            <w:shd w:val="clear" w:color="000000" w:fill="FFFFFF"/>
            <w:noWrap/>
            <w:hideMark/>
          </w:tcPr>
          <w:p w14:paraId="2A8ECD4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w:t>
            </w:r>
          </w:p>
        </w:tc>
        <w:tc>
          <w:tcPr>
            <w:tcW w:w="567" w:type="dxa"/>
            <w:tcBorders>
              <w:top w:val="nil"/>
              <w:left w:val="nil"/>
              <w:bottom w:val="nil"/>
              <w:right w:val="nil"/>
            </w:tcBorders>
            <w:shd w:val="clear" w:color="000000" w:fill="FFFFFF"/>
            <w:hideMark/>
          </w:tcPr>
          <w:p w14:paraId="4364C82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5 ; 7 ; 8 ; 9 ; 10 ; 11</w:t>
            </w:r>
          </w:p>
        </w:tc>
        <w:tc>
          <w:tcPr>
            <w:tcW w:w="992" w:type="dxa"/>
            <w:tcBorders>
              <w:top w:val="nil"/>
              <w:left w:val="nil"/>
              <w:bottom w:val="nil"/>
              <w:right w:val="nil"/>
            </w:tcBorders>
            <w:shd w:val="clear" w:color="000000" w:fill="FFFFFF"/>
            <w:noWrap/>
            <w:hideMark/>
          </w:tcPr>
          <w:p w14:paraId="0C5F209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- 580</w:t>
            </w:r>
          </w:p>
        </w:tc>
        <w:tc>
          <w:tcPr>
            <w:tcW w:w="200" w:type="dxa"/>
            <w:tcBorders>
              <w:top w:val="nil"/>
              <w:left w:val="nil"/>
              <w:bottom w:val="nil"/>
              <w:right w:val="nil"/>
            </w:tcBorders>
            <w:shd w:val="clear" w:color="000000" w:fill="FFFFFF"/>
            <w:noWrap/>
            <w:hideMark/>
          </w:tcPr>
          <w:p w14:paraId="3872F37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2CF2DA3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7BA9925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708" w:type="dxa"/>
            <w:tcBorders>
              <w:top w:val="nil"/>
              <w:left w:val="nil"/>
              <w:bottom w:val="nil"/>
              <w:right w:val="nil"/>
            </w:tcBorders>
            <w:shd w:val="clear" w:color="000000" w:fill="FFFFFF"/>
            <w:noWrap/>
            <w:hideMark/>
          </w:tcPr>
          <w:p w14:paraId="335F2BA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20</w:t>
            </w:r>
          </w:p>
        </w:tc>
        <w:tc>
          <w:tcPr>
            <w:tcW w:w="160" w:type="dxa"/>
            <w:tcBorders>
              <w:top w:val="nil"/>
              <w:left w:val="nil"/>
              <w:bottom w:val="nil"/>
              <w:right w:val="nil"/>
            </w:tcBorders>
            <w:shd w:val="clear" w:color="000000" w:fill="FFFFFF"/>
            <w:noWrap/>
            <w:hideMark/>
          </w:tcPr>
          <w:p w14:paraId="651B8E9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6D3A5BF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72E82C5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FFFFFF"/>
            <w:noWrap/>
            <w:hideMark/>
          </w:tcPr>
          <w:p w14:paraId="4FFAC6D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62AA5AC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3C6A559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566384D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42ECCC6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5</w:t>
            </w:r>
          </w:p>
        </w:tc>
        <w:tc>
          <w:tcPr>
            <w:tcW w:w="632" w:type="dxa"/>
            <w:tcBorders>
              <w:top w:val="nil"/>
              <w:left w:val="nil"/>
              <w:bottom w:val="nil"/>
              <w:right w:val="nil"/>
            </w:tcBorders>
            <w:shd w:val="clear" w:color="000000" w:fill="FFFFFF"/>
            <w:noWrap/>
            <w:hideMark/>
          </w:tcPr>
          <w:p w14:paraId="116B700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w:t>
            </w:r>
          </w:p>
        </w:tc>
      </w:tr>
      <w:tr w:rsidR="006652DF" w:rsidRPr="006652DF" w14:paraId="5B0A0834" w14:textId="77777777" w:rsidTr="006652DF">
        <w:trPr>
          <w:trHeight w:val="300"/>
        </w:trPr>
        <w:tc>
          <w:tcPr>
            <w:tcW w:w="1008" w:type="dxa"/>
            <w:tcBorders>
              <w:top w:val="nil"/>
              <w:left w:val="nil"/>
              <w:bottom w:val="nil"/>
              <w:right w:val="nil"/>
            </w:tcBorders>
            <w:shd w:val="clear" w:color="000000" w:fill="D9D9D9"/>
            <w:noWrap/>
            <w:hideMark/>
          </w:tcPr>
          <w:p w14:paraId="688E5274"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FructoseFM.Avi</w:t>
            </w:r>
          </w:p>
        </w:tc>
        <w:tc>
          <w:tcPr>
            <w:tcW w:w="567" w:type="dxa"/>
            <w:tcBorders>
              <w:top w:val="nil"/>
              <w:left w:val="nil"/>
              <w:bottom w:val="nil"/>
              <w:right w:val="nil"/>
            </w:tcBorders>
            <w:shd w:val="clear" w:color="000000" w:fill="D9D9D9"/>
            <w:noWrap/>
            <w:hideMark/>
          </w:tcPr>
          <w:p w14:paraId="36FE17B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7</w:t>
            </w:r>
          </w:p>
        </w:tc>
        <w:tc>
          <w:tcPr>
            <w:tcW w:w="567" w:type="dxa"/>
            <w:tcBorders>
              <w:top w:val="nil"/>
              <w:left w:val="nil"/>
              <w:bottom w:val="nil"/>
              <w:right w:val="nil"/>
            </w:tcBorders>
            <w:shd w:val="clear" w:color="000000" w:fill="D9D9D9"/>
            <w:noWrap/>
            <w:hideMark/>
          </w:tcPr>
          <w:p w14:paraId="4CE1813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0226960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 ; 11</w:t>
            </w:r>
          </w:p>
        </w:tc>
        <w:tc>
          <w:tcPr>
            <w:tcW w:w="992" w:type="dxa"/>
            <w:tcBorders>
              <w:top w:val="nil"/>
              <w:left w:val="nil"/>
              <w:bottom w:val="nil"/>
              <w:right w:val="nil"/>
            </w:tcBorders>
            <w:shd w:val="clear" w:color="000000" w:fill="D9D9D9"/>
            <w:noWrap/>
            <w:hideMark/>
          </w:tcPr>
          <w:p w14:paraId="1D56B19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24</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- 25</w:t>
            </w:r>
          </w:p>
        </w:tc>
        <w:tc>
          <w:tcPr>
            <w:tcW w:w="200" w:type="dxa"/>
            <w:tcBorders>
              <w:top w:val="nil"/>
              <w:left w:val="nil"/>
              <w:bottom w:val="nil"/>
              <w:right w:val="nil"/>
            </w:tcBorders>
            <w:shd w:val="clear" w:color="000000" w:fill="D9D9D9"/>
            <w:noWrap/>
            <w:hideMark/>
          </w:tcPr>
          <w:p w14:paraId="21E6901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2531DA3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048CEAA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708" w:type="dxa"/>
            <w:tcBorders>
              <w:top w:val="nil"/>
              <w:left w:val="nil"/>
              <w:bottom w:val="nil"/>
              <w:right w:val="nil"/>
            </w:tcBorders>
            <w:shd w:val="clear" w:color="000000" w:fill="D9D9D9"/>
            <w:noWrap/>
            <w:hideMark/>
          </w:tcPr>
          <w:p w14:paraId="2D13333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w:t>
            </w:r>
          </w:p>
        </w:tc>
        <w:tc>
          <w:tcPr>
            <w:tcW w:w="160" w:type="dxa"/>
            <w:tcBorders>
              <w:top w:val="nil"/>
              <w:left w:val="nil"/>
              <w:bottom w:val="nil"/>
              <w:right w:val="nil"/>
            </w:tcBorders>
            <w:shd w:val="clear" w:color="000000" w:fill="D9D9D9"/>
            <w:noWrap/>
            <w:hideMark/>
          </w:tcPr>
          <w:p w14:paraId="54A03B9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221BDB3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851" w:type="dxa"/>
            <w:tcBorders>
              <w:top w:val="nil"/>
              <w:left w:val="nil"/>
              <w:bottom w:val="nil"/>
              <w:right w:val="nil"/>
            </w:tcBorders>
            <w:shd w:val="clear" w:color="000000" w:fill="D9D9D9"/>
            <w:noWrap/>
            <w:hideMark/>
          </w:tcPr>
          <w:p w14:paraId="21B4A28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 ; 6 ; 11</w:t>
            </w:r>
          </w:p>
        </w:tc>
        <w:tc>
          <w:tcPr>
            <w:tcW w:w="709" w:type="dxa"/>
            <w:tcBorders>
              <w:top w:val="nil"/>
              <w:left w:val="nil"/>
              <w:bottom w:val="nil"/>
              <w:right w:val="nil"/>
            </w:tcBorders>
            <w:shd w:val="clear" w:color="000000" w:fill="D9D9D9"/>
            <w:noWrap/>
            <w:hideMark/>
          </w:tcPr>
          <w:p w14:paraId="29CB993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- 35</w:t>
            </w:r>
          </w:p>
        </w:tc>
        <w:tc>
          <w:tcPr>
            <w:tcW w:w="160" w:type="dxa"/>
            <w:tcBorders>
              <w:top w:val="nil"/>
              <w:left w:val="nil"/>
              <w:bottom w:val="nil"/>
              <w:right w:val="nil"/>
            </w:tcBorders>
            <w:shd w:val="clear" w:color="000000" w:fill="D9D9D9"/>
            <w:noWrap/>
            <w:hideMark/>
          </w:tcPr>
          <w:p w14:paraId="02C2999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7E8B2D4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3C555E4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320DC37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550FD27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3805FA72" w14:textId="77777777" w:rsidTr="006652DF">
        <w:trPr>
          <w:trHeight w:val="300"/>
        </w:trPr>
        <w:tc>
          <w:tcPr>
            <w:tcW w:w="1008" w:type="dxa"/>
            <w:tcBorders>
              <w:top w:val="nil"/>
              <w:left w:val="nil"/>
              <w:bottom w:val="nil"/>
              <w:right w:val="nil"/>
            </w:tcBorders>
            <w:shd w:val="clear" w:color="000000" w:fill="FFFFFF"/>
            <w:noWrap/>
            <w:hideMark/>
          </w:tcPr>
          <w:p w14:paraId="2AE99F17"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FructoseDM.Avi</w:t>
            </w:r>
          </w:p>
        </w:tc>
        <w:tc>
          <w:tcPr>
            <w:tcW w:w="567" w:type="dxa"/>
            <w:tcBorders>
              <w:top w:val="nil"/>
              <w:left w:val="nil"/>
              <w:bottom w:val="nil"/>
              <w:right w:val="nil"/>
            </w:tcBorders>
            <w:shd w:val="clear" w:color="000000" w:fill="FFFFFF"/>
            <w:noWrap/>
            <w:hideMark/>
          </w:tcPr>
          <w:p w14:paraId="5F88F3E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567" w:type="dxa"/>
            <w:tcBorders>
              <w:top w:val="nil"/>
              <w:left w:val="nil"/>
              <w:bottom w:val="nil"/>
              <w:right w:val="nil"/>
            </w:tcBorders>
            <w:shd w:val="clear" w:color="000000" w:fill="FFFFFF"/>
            <w:noWrap/>
            <w:hideMark/>
          </w:tcPr>
          <w:p w14:paraId="240271E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0CD8D4E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 ; 10</w:t>
            </w:r>
          </w:p>
        </w:tc>
        <w:tc>
          <w:tcPr>
            <w:tcW w:w="992" w:type="dxa"/>
            <w:tcBorders>
              <w:top w:val="nil"/>
              <w:left w:val="nil"/>
              <w:bottom w:val="nil"/>
              <w:right w:val="nil"/>
            </w:tcBorders>
            <w:shd w:val="clear" w:color="000000" w:fill="FFFFFF"/>
            <w:noWrap/>
            <w:hideMark/>
          </w:tcPr>
          <w:p w14:paraId="756D8DC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19</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- 20</w:t>
            </w:r>
          </w:p>
        </w:tc>
        <w:tc>
          <w:tcPr>
            <w:tcW w:w="200" w:type="dxa"/>
            <w:tcBorders>
              <w:top w:val="nil"/>
              <w:left w:val="nil"/>
              <w:bottom w:val="nil"/>
              <w:right w:val="nil"/>
            </w:tcBorders>
            <w:shd w:val="clear" w:color="000000" w:fill="FFFFFF"/>
            <w:noWrap/>
            <w:hideMark/>
          </w:tcPr>
          <w:p w14:paraId="06E49A3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0AFC9C6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1809CBC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708" w:type="dxa"/>
            <w:tcBorders>
              <w:top w:val="nil"/>
              <w:left w:val="nil"/>
              <w:bottom w:val="nil"/>
              <w:right w:val="nil"/>
            </w:tcBorders>
            <w:shd w:val="clear" w:color="000000" w:fill="FFFFFF"/>
            <w:noWrap/>
            <w:hideMark/>
          </w:tcPr>
          <w:p w14:paraId="4ADB646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86</w:t>
            </w:r>
          </w:p>
        </w:tc>
        <w:tc>
          <w:tcPr>
            <w:tcW w:w="160" w:type="dxa"/>
            <w:tcBorders>
              <w:top w:val="nil"/>
              <w:left w:val="nil"/>
              <w:bottom w:val="nil"/>
              <w:right w:val="nil"/>
            </w:tcBorders>
            <w:shd w:val="clear" w:color="000000" w:fill="FFFFFF"/>
            <w:noWrap/>
            <w:hideMark/>
          </w:tcPr>
          <w:p w14:paraId="5DA714A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6DD08A6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745AB10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709" w:type="dxa"/>
            <w:tcBorders>
              <w:top w:val="nil"/>
              <w:left w:val="nil"/>
              <w:bottom w:val="nil"/>
              <w:right w:val="nil"/>
            </w:tcBorders>
            <w:shd w:val="clear" w:color="000000" w:fill="FFFFFF"/>
            <w:noWrap/>
            <w:hideMark/>
          </w:tcPr>
          <w:p w14:paraId="5645BC6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32</w:t>
            </w:r>
          </w:p>
        </w:tc>
        <w:tc>
          <w:tcPr>
            <w:tcW w:w="160" w:type="dxa"/>
            <w:tcBorders>
              <w:top w:val="nil"/>
              <w:left w:val="nil"/>
              <w:bottom w:val="nil"/>
              <w:right w:val="nil"/>
            </w:tcBorders>
            <w:shd w:val="clear" w:color="000000" w:fill="FFFFFF"/>
            <w:noWrap/>
            <w:hideMark/>
          </w:tcPr>
          <w:p w14:paraId="4C5955B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1A3A445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485BB46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012509F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632" w:type="dxa"/>
            <w:tcBorders>
              <w:top w:val="nil"/>
              <w:left w:val="nil"/>
              <w:bottom w:val="nil"/>
              <w:right w:val="nil"/>
            </w:tcBorders>
            <w:shd w:val="clear" w:color="000000" w:fill="FFFFFF"/>
            <w:noWrap/>
            <w:hideMark/>
          </w:tcPr>
          <w:p w14:paraId="04FB4EA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17</w:t>
            </w:r>
          </w:p>
        </w:tc>
      </w:tr>
      <w:tr w:rsidR="006652DF" w:rsidRPr="006652DF" w14:paraId="4A7D9AB9" w14:textId="77777777" w:rsidTr="006652DF">
        <w:trPr>
          <w:trHeight w:val="300"/>
        </w:trPr>
        <w:tc>
          <w:tcPr>
            <w:tcW w:w="1008" w:type="dxa"/>
            <w:tcBorders>
              <w:top w:val="nil"/>
              <w:left w:val="nil"/>
              <w:bottom w:val="nil"/>
              <w:right w:val="nil"/>
            </w:tcBorders>
            <w:shd w:val="clear" w:color="000000" w:fill="D9D9D9"/>
            <w:noWrap/>
            <w:hideMark/>
          </w:tcPr>
          <w:p w14:paraId="5865C435"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pH.Avi</w:t>
            </w:r>
          </w:p>
        </w:tc>
        <w:tc>
          <w:tcPr>
            <w:tcW w:w="567" w:type="dxa"/>
            <w:tcBorders>
              <w:top w:val="nil"/>
              <w:left w:val="nil"/>
              <w:bottom w:val="nil"/>
              <w:right w:val="nil"/>
            </w:tcBorders>
            <w:shd w:val="clear" w:color="000000" w:fill="D9D9D9"/>
            <w:noWrap/>
            <w:hideMark/>
          </w:tcPr>
          <w:p w14:paraId="5325093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12</w:t>
            </w:r>
          </w:p>
        </w:tc>
        <w:tc>
          <w:tcPr>
            <w:tcW w:w="567" w:type="dxa"/>
            <w:tcBorders>
              <w:top w:val="nil"/>
              <w:left w:val="nil"/>
              <w:bottom w:val="nil"/>
              <w:right w:val="nil"/>
            </w:tcBorders>
            <w:shd w:val="clear" w:color="000000" w:fill="D9D9D9"/>
            <w:noWrap/>
            <w:hideMark/>
          </w:tcPr>
          <w:p w14:paraId="4EDF1BE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567" w:type="dxa"/>
            <w:tcBorders>
              <w:top w:val="nil"/>
              <w:left w:val="nil"/>
              <w:bottom w:val="nil"/>
              <w:right w:val="nil"/>
            </w:tcBorders>
            <w:shd w:val="clear" w:color="000000" w:fill="D9D9D9"/>
            <w:noWrap/>
            <w:hideMark/>
          </w:tcPr>
          <w:p w14:paraId="603F65F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5 ; 6 ; 12</w:t>
            </w:r>
          </w:p>
        </w:tc>
        <w:tc>
          <w:tcPr>
            <w:tcW w:w="992" w:type="dxa"/>
            <w:tcBorders>
              <w:top w:val="nil"/>
              <w:left w:val="nil"/>
              <w:bottom w:val="nil"/>
              <w:right w:val="nil"/>
            </w:tcBorders>
            <w:shd w:val="clear" w:color="000000" w:fill="D9D9D9"/>
            <w:noWrap/>
            <w:hideMark/>
          </w:tcPr>
          <w:p w14:paraId="7B37427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- 20</w:t>
            </w:r>
          </w:p>
        </w:tc>
        <w:tc>
          <w:tcPr>
            <w:tcW w:w="200" w:type="dxa"/>
            <w:tcBorders>
              <w:top w:val="nil"/>
              <w:left w:val="nil"/>
              <w:bottom w:val="nil"/>
              <w:right w:val="nil"/>
            </w:tcBorders>
            <w:shd w:val="clear" w:color="000000" w:fill="D9D9D9"/>
            <w:noWrap/>
            <w:hideMark/>
          </w:tcPr>
          <w:p w14:paraId="11FCCC1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2A2F06B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851" w:type="dxa"/>
            <w:tcBorders>
              <w:top w:val="nil"/>
              <w:left w:val="nil"/>
              <w:bottom w:val="nil"/>
              <w:right w:val="nil"/>
            </w:tcBorders>
            <w:shd w:val="clear" w:color="000000" w:fill="D9D9D9"/>
            <w:noWrap/>
            <w:hideMark/>
          </w:tcPr>
          <w:p w14:paraId="6922862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4 ; 11</w:t>
            </w:r>
          </w:p>
        </w:tc>
        <w:tc>
          <w:tcPr>
            <w:tcW w:w="708" w:type="dxa"/>
            <w:tcBorders>
              <w:top w:val="nil"/>
              <w:left w:val="nil"/>
              <w:bottom w:val="nil"/>
              <w:right w:val="nil"/>
            </w:tcBorders>
            <w:shd w:val="clear" w:color="000000" w:fill="D9D9D9"/>
            <w:noWrap/>
            <w:hideMark/>
          </w:tcPr>
          <w:p w14:paraId="6C8286C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- 5</w:t>
            </w:r>
          </w:p>
        </w:tc>
        <w:tc>
          <w:tcPr>
            <w:tcW w:w="160" w:type="dxa"/>
            <w:tcBorders>
              <w:top w:val="nil"/>
              <w:left w:val="nil"/>
              <w:bottom w:val="nil"/>
              <w:right w:val="nil"/>
            </w:tcBorders>
            <w:shd w:val="clear" w:color="000000" w:fill="D9D9D9"/>
            <w:noWrap/>
            <w:hideMark/>
          </w:tcPr>
          <w:p w14:paraId="667941A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54D7A65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7014295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p>
        </w:tc>
        <w:tc>
          <w:tcPr>
            <w:tcW w:w="709" w:type="dxa"/>
            <w:tcBorders>
              <w:top w:val="nil"/>
              <w:left w:val="nil"/>
              <w:bottom w:val="nil"/>
              <w:right w:val="nil"/>
            </w:tcBorders>
            <w:shd w:val="clear" w:color="000000" w:fill="D9D9D9"/>
            <w:noWrap/>
            <w:hideMark/>
          </w:tcPr>
          <w:p w14:paraId="50821BF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160" w:type="dxa"/>
            <w:tcBorders>
              <w:top w:val="nil"/>
              <w:left w:val="nil"/>
              <w:bottom w:val="nil"/>
              <w:right w:val="nil"/>
            </w:tcBorders>
            <w:shd w:val="clear" w:color="000000" w:fill="D9D9D9"/>
            <w:noWrap/>
            <w:hideMark/>
          </w:tcPr>
          <w:p w14:paraId="2A7778D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4464C7F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D9D9D9"/>
            <w:noWrap/>
            <w:hideMark/>
          </w:tcPr>
          <w:p w14:paraId="69576CF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D9D9D9"/>
            <w:noWrap/>
            <w:hideMark/>
          </w:tcPr>
          <w:p w14:paraId="59FB7E8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 ; 4 ; 11</w:t>
            </w:r>
          </w:p>
        </w:tc>
        <w:tc>
          <w:tcPr>
            <w:tcW w:w="632" w:type="dxa"/>
            <w:tcBorders>
              <w:top w:val="nil"/>
              <w:left w:val="nil"/>
              <w:bottom w:val="nil"/>
              <w:right w:val="nil"/>
            </w:tcBorders>
            <w:shd w:val="clear" w:color="000000" w:fill="D9D9D9"/>
            <w:noWrap/>
            <w:hideMark/>
          </w:tcPr>
          <w:p w14:paraId="2032734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xml:space="preserve">1 </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- 35</w:t>
            </w:r>
          </w:p>
        </w:tc>
      </w:tr>
      <w:tr w:rsidR="006652DF" w:rsidRPr="006652DF" w14:paraId="06D5B4F8" w14:textId="77777777" w:rsidTr="006652DF">
        <w:trPr>
          <w:trHeight w:val="300"/>
        </w:trPr>
        <w:tc>
          <w:tcPr>
            <w:tcW w:w="1008" w:type="dxa"/>
            <w:tcBorders>
              <w:top w:val="nil"/>
              <w:left w:val="nil"/>
              <w:bottom w:val="nil"/>
              <w:right w:val="nil"/>
            </w:tcBorders>
            <w:shd w:val="clear" w:color="000000" w:fill="FFFFFF"/>
            <w:noWrap/>
            <w:hideMark/>
          </w:tcPr>
          <w:p w14:paraId="4FA597ED"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CitricFM.Avi</w:t>
            </w:r>
          </w:p>
        </w:tc>
        <w:tc>
          <w:tcPr>
            <w:tcW w:w="567" w:type="dxa"/>
            <w:tcBorders>
              <w:top w:val="nil"/>
              <w:left w:val="nil"/>
              <w:bottom w:val="nil"/>
              <w:right w:val="nil"/>
            </w:tcBorders>
            <w:shd w:val="clear" w:color="000000" w:fill="FFFFFF"/>
            <w:noWrap/>
            <w:hideMark/>
          </w:tcPr>
          <w:p w14:paraId="1EC24E7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567" w:type="dxa"/>
            <w:tcBorders>
              <w:top w:val="nil"/>
              <w:left w:val="nil"/>
              <w:bottom w:val="nil"/>
              <w:right w:val="nil"/>
            </w:tcBorders>
            <w:shd w:val="clear" w:color="000000" w:fill="FFFFFF"/>
            <w:noWrap/>
            <w:hideMark/>
          </w:tcPr>
          <w:p w14:paraId="1F481BB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2C5D27E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992" w:type="dxa"/>
            <w:tcBorders>
              <w:top w:val="nil"/>
              <w:left w:val="nil"/>
              <w:bottom w:val="nil"/>
              <w:right w:val="nil"/>
            </w:tcBorders>
            <w:shd w:val="clear" w:color="000000" w:fill="FFFFFF"/>
            <w:noWrap/>
            <w:hideMark/>
          </w:tcPr>
          <w:p w14:paraId="0CD1C27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200" w:type="dxa"/>
            <w:tcBorders>
              <w:top w:val="nil"/>
              <w:left w:val="nil"/>
              <w:bottom w:val="nil"/>
              <w:right w:val="nil"/>
            </w:tcBorders>
            <w:shd w:val="clear" w:color="000000" w:fill="FFFFFF"/>
            <w:noWrap/>
            <w:hideMark/>
          </w:tcPr>
          <w:p w14:paraId="661ECD8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46BFED5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4C01040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p>
        </w:tc>
        <w:tc>
          <w:tcPr>
            <w:tcW w:w="708" w:type="dxa"/>
            <w:tcBorders>
              <w:top w:val="nil"/>
              <w:left w:val="nil"/>
              <w:bottom w:val="nil"/>
              <w:right w:val="nil"/>
            </w:tcBorders>
            <w:shd w:val="clear" w:color="000000" w:fill="FFFFFF"/>
            <w:noWrap/>
            <w:hideMark/>
          </w:tcPr>
          <w:p w14:paraId="5E03C60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160" w:type="dxa"/>
            <w:tcBorders>
              <w:top w:val="nil"/>
              <w:left w:val="nil"/>
              <w:bottom w:val="nil"/>
              <w:right w:val="nil"/>
            </w:tcBorders>
            <w:shd w:val="clear" w:color="000000" w:fill="FFFFFF"/>
            <w:noWrap/>
            <w:hideMark/>
          </w:tcPr>
          <w:p w14:paraId="51D0B35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4E7CDE4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27693E0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FFFFFF"/>
            <w:noWrap/>
            <w:hideMark/>
          </w:tcPr>
          <w:p w14:paraId="0B7DC81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73721EF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7C1B49F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3DF261C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169DD44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3FE672F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5D877FC1" w14:textId="77777777" w:rsidTr="006652DF">
        <w:trPr>
          <w:trHeight w:val="300"/>
        </w:trPr>
        <w:tc>
          <w:tcPr>
            <w:tcW w:w="1008" w:type="dxa"/>
            <w:tcBorders>
              <w:top w:val="nil"/>
              <w:left w:val="nil"/>
              <w:bottom w:val="nil"/>
              <w:right w:val="nil"/>
            </w:tcBorders>
            <w:shd w:val="clear" w:color="000000" w:fill="D9D9D9"/>
            <w:noWrap/>
            <w:hideMark/>
          </w:tcPr>
          <w:p w14:paraId="4F8C40E5"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CitricDM.Avi</w:t>
            </w:r>
          </w:p>
        </w:tc>
        <w:tc>
          <w:tcPr>
            <w:tcW w:w="567" w:type="dxa"/>
            <w:tcBorders>
              <w:top w:val="nil"/>
              <w:left w:val="nil"/>
              <w:bottom w:val="nil"/>
              <w:right w:val="nil"/>
            </w:tcBorders>
            <w:shd w:val="clear" w:color="000000" w:fill="D9D9D9"/>
            <w:noWrap/>
            <w:hideMark/>
          </w:tcPr>
          <w:p w14:paraId="52A270E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5</w:t>
            </w:r>
          </w:p>
        </w:tc>
        <w:tc>
          <w:tcPr>
            <w:tcW w:w="567" w:type="dxa"/>
            <w:tcBorders>
              <w:top w:val="nil"/>
              <w:left w:val="nil"/>
              <w:bottom w:val="nil"/>
              <w:right w:val="nil"/>
            </w:tcBorders>
            <w:shd w:val="clear" w:color="000000" w:fill="D9D9D9"/>
            <w:noWrap/>
            <w:hideMark/>
          </w:tcPr>
          <w:p w14:paraId="3CD1197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567" w:type="dxa"/>
            <w:tcBorders>
              <w:top w:val="nil"/>
              <w:left w:val="nil"/>
              <w:bottom w:val="nil"/>
              <w:right w:val="nil"/>
            </w:tcBorders>
            <w:shd w:val="clear" w:color="000000" w:fill="D9D9D9"/>
            <w:noWrap/>
            <w:hideMark/>
          </w:tcPr>
          <w:p w14:paraId="3CCBC1A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 ; 8 ; 9</w:t>
            </w:r>
          </w:p>
        </w:tc>
        <w:tc>
          <w:tcPr>
            <w:tcW w:w="992" w:type="dxa"/>
            <w:tcBorders>
              <w:top w:val="nil"/>
              <w:left w:val="nil"/>
              <w:bottom w:val="nil"/>
              <w:right w:val="nil"/>
            </w:tcBorders>
            <w:shd w:val="clear" w:color="000000" w:fill="D9D9D9"/>
            <w:noWrap/>
            <w:hideMark/>
          </w:tcPr>
          <w:p w14:paraId="6FD0029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- 6</w:t>
            </w:r>
          </w:p>
        </w:tc>
        <w:tc>
          <w:tcPr>
            <w:tcW w:w="200" w:type="dxa"/>
            <w:tcBorders>
              <w:top w:val="nil"/>
              <w:left w:val="nil"/>
              <w:bottom w:val="nil"/>
              <w:right w:val="nil"/>
            </w:tcBorders>
            <w:shd w:val="clear" w:color="000000" w:fill="D9D9D9"/>
            <w:noWrap/>
            <w:hideMark/>
          </w:tcPr>
          <w:p w14:paraId="19FF870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7AEB4E2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302367F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D9D9D9"/>
            <w:noWrap/>
            <w:hideMark/>
          </w:tcPr>
          <w:p w14:paraId="595786F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0DE128E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11EA7C0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851" w:type="dxa"/>
            <w:tcBorders>
              <w:top w:val="nil"/>
              <w:left w:val="nil"/>
              <w:bottom w:val="nil"/>
              <w:right w:val="nil"/>
            </w:tcBorders>
            <w:shd w:val="clear" w:color="000000" w:fill="D9D9D9"/>
            <w:noWrap/>
            <w:hideMark/>
          </w:tcPr>
          <w:p w14:paraId="6BA52A8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6</w:t>
            </w:r>
          </w:p>
        </w:tc>
        <w:tc>
          <w:tcPr>
            <w:tcW w:w="709" w:type="dxa"/>
            <w:tcBorders>
              <w:top w:val="nil"/>
              <w:left w:val="nil"/>
              <w:bottom w:val="nil"/>
              <w:right w:val="nil"/>
            </w:tcBorders>
            <w:shd w:val="clear" w:color="000000" w:fill="D9D9D9"/>
            <w:noWrap/>
            <w:hideMark/>
          </w:tcPr>
          <w:p w14:paraId="3A5C6A6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- 8</w:t>
            </w:r>
          </w:p>
        </w:tc>
        <w:tc>
          <w:tcPr>
            <w:tcW w:w="160" w:type="dxa"/>
            <w:tcBorders>
              <w:top w:val="nil"/>
              <w:left w:val="nil"/>
              <w:bottom w:val="nil"/>
              <w:right w:val="nil"/>
            </w:tcBorders>
            <w:shd w:val="clear" w:color="000000" w:fill="D9D9D9"/>
            <w:noWrap/>
            <w:hideMark/>
          </w:tcPr>
          <w:p w14:paraId="066B060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52D20F4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5FA027F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1E2A62D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5B1F5ED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54528E89" w14:textId="77777777" w:rsidTr="006652DF">
        <w:trPr>
          <w:trHeight w:val="300"/>
        </w:trPr>
        <w:tc>
          <w:tcPr>
            <w:tcW w:w="1008" w:type="dxa"/>
            <w:tcBorders>
              <w:top w:val="nil"/>
              <w:left w:val="nil"/>
              <w:bottom w:val="nil"/>
              <w:right w:val="nil"/>
            </w:tcBorders>
            <w:shd w:val="clear" w:color="000000" w:fill="FFFFFF"/>
            <w:noWrap/>
            <w:hideMark/>
          </w:tcPr>
          <w:p w14:paraId="323CFAC9"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MalicFM.Avi</w:t>
            </w:r>
          </w:p>
        </w:tc>
        <w:tc>
          <w:tcPr>
            <w:tcW w:w="567" w:type="dxa"/>
            <w:tcBorders>
              <w:top w:val="nil"/>
              <w:left w:val="nil"/>
              <w:bottom w:val="nil"/>
              <w:right w:val="nil"/>
            </w:tcBorders>
            <w:shd w:val="clear" w:color="000000" w:fill="FFFFFF"/>
            <w:noWrap/>
            <w:hideMark/>
          </w:tcPr>
          <w:p w14:paraId="686DCB8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567" w:type="dxa"/>
            <w:tcBorders>
              <w:top w:val="nil"/>
              <w:left w:val="nil"/>
              <w:bottom w:val="nil"/>
              <w:right w:val="nil"/>
            </w:tcBorders>
            <w:shd w:val="clear" w:color="000000" w:fill="FFFFFF"/>
            <w:noWrap/>
            <w:hideMark/>
          </w:tcPr>
          <w:p w14:paraId="57260A6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567" w:type="dxa"/>
            <w:tcBorders>
              <w:top w:val="nil"/>
              <w:left w:val="nil"/>
              <w:bottom w:val="nil"/>
              <w:right w:val="nil"/>
            </w:tcBorders>
            <w:shd w:val="clear" w:color="000000" w:fill="FFFFFF"/>
            <w:noWrap/>
            <w:hideMark/>
          </w:tcPr>
          <w:p w14:paraId="696AF89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 ; 7</w:t>
            </w:r>
          </w:p>
        </w:tc>
        <w:tc>
          <w:tcPr>
            <w:tcW w:w="992" w:type="dxa"/>
            <w:tcBorders>
              <w:top w:val="nil"/>
              <w:left w:val="nil"/>
              <w:bottom w:val="nil"/>
              <w:right w:val="nil"/>
            </w:tcBorders>
            <w:shd w:val="clear" w:color="000000" w:fill="FFFFFF"/>
            <w:noWrap/>
            <w:hideMark/>
          </w:tcPr>
          <w:p w14:paraId="47D0E3B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- 26</w:t>
            </w:r>
          </w:p>
        </w:tc>
        <w:tc>
          <w:tcPr>
            <w:tcW w:w="200" w:type="dxa"/>
            <w:tcBorders>
              <w:top w:val="nil"/>
              <w:left w:val="nil"/>
              <w:bottom w:val="nil"/>
              <w:right w:val="nil"/>
            </w:tcBorders>
            <w:shd w:val="clear" w:color="000000" w:fill="FFFFFF"/>
            <w:noWrap/>
            <w:hideMark/>
          </w:tcPr>
          <w:p w14:paraId="33BD02A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751AACD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FFFFFF"/>
            <w:noWrap/>
            <w:hideMark/>
          </w:tcPr>
          <w:p w14:paraId="1B65591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p>
        </w:tc>
        <w:tc>
          <w:tcPr>
            <w:tcW w:w="708" w:type="dxa"/>
            <w:tcBorders>
              <w:top w:val="nil"/>
              <w:left w:val="nil"/>
              <w:bottom w:val="nil"/>
              <w:right w:val="nil"/>
            </w:tcBorders>
            <w:shd w:val="clear" w:color="000000" w:fill="FFFFFF"/>
            <w:noWrap/>
            <w:hideMark/>
          </w:tcPr>
          <w:p w14:paraId="1A18C9E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160" w:type="dxa"/>
            <w:tcBorders>
              <w:top w:val="nil"/>
              <w:left w:val="nil"/>
              <w:bottom w:val="nil"/>
              <w:right w:val="nil"/>
            </w:tcBorders>
            <w:shd w:val="clear" w:color="000000" w:fill="FFFFFF"/>
            <w:noWrap/>
            <w:hideMark/>
          </w:tcPr>
          <w:p w14:paraId="4406CCB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53E8062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0741148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FFFFFF"/>
            <w:noWrap/>
            <w:hideMark/>
          </w:tcPr>
          <w:p w14:paraId="66BD83B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0F73DDC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6B10C9C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7E19BBF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3C4E044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1806B4C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625CB30D" w14:textId="77777777" w:rsidTr="006652DF">
        <w:trPr>
          <w:trHeight w:val="300"/>
        </w:trPr>
        <w:tc>
          <w:tcPr>
            <w:tcW w:w="1008" w:type="dxa"/>
            <w:tcBorders>
              <w:top w:val="nil"/>
              <w:left w:val="nil"/>
              <w:bottom w:val="nil"/>
              <w:right w:val="nil"/>
            </w:tcBorders>
            <w:shd w:val="clear" w:color="000000" w:fill="D9D9D9"/>
            <w:noWrap/>
            <w:hideMark/>
          </w:tcPr>
          <w:p w14:paraId="7E32FFD9"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MalicFM.Avi</w:t>
            </w:r>
          </w:p>
        </w:tc>
        <w:tc>
          <w:tcPr>
            <w:tcW w:w="567" w:type="dxa"/>
            <w:tcBorders>
              <w:top w:val="nil"/>
              <w:left w:val="nil"/>
              <w:bottom w:val="nil"/>
              <w:right w:val="nil"/>
            </w:tcBorders>
            <w:shd w:val="clear" w:color="000000" w:fill="D9D9D9"/>
            <w:noWrap/>
            <w:hideMark/>
          </w:tcPr>
          <w:p w14:paraId="058E1F1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10</w:t>
            </w:r>
          </w:p>
        </w:tc>
        <w:tc>
          <w:tcPr>
            <w:tcW w:w="567" w:type="dxa"/>
            <w:tcBorders>
              <w:top w:val="nil"/>
              <w:left w:val="nil"/>
              <w:bottom w:val="nil"/>
              <w:right w:val="nil"/>
            </w:tcBorders>
            <w:shd w:val="clear" w:color="000000" w:fill="D9D9D9"/>
            <w:noWrap/>
            <w:hideMark/>
          </w:tcPr>
          <w:p w14:paraId="384CA25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9</w:t>
            </w:r>
          </w:p>
        </w:tc>
        <w:tc>
          <w:tcPr>
            <w:tcW w:w="567" w:type="dxa"/>
            <w:tcBorders>
              <w:top w:val="nil"/>
              <w:left w:val="nil"/>
              <w:bottom w:val="nil"/>
              <w:right w:val="nil"/>
            </w:tcBorders>
            <w:shd w:val="clear" w:color="000000" w:fill="D9D9D9"/>
            <w:noWrap/>
            <w:hideMark/>
          </w:tcPr>
          <w:p w14:paraId="6EFC67F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6 ; 7</w:t>
            </w:r>
          </w:p>
        </w:tc>
        <w:tc>
          <w:tcPr>
            <w:tcW w:w="992" w:type="dxa"/>
            <w:tcBorders>
              <w:top w:val="nil"/>
              <w:left w:val="nil"/>
              <w:bottom w:val="nil"/>
              <w:right w:val="nil"/>
            </w:tcBorders>
            <w:shd w:val="clear" w:color="000000" w:fill="D9D9D9"/>
            <w:noWrap/>
            <w:hideMark/>
          </w:tcPr>
          <w:p w14:paraId="642CC3A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- 26</w:t>
            </w:r>
          </w:p>
        </w:tc>
        <w:tc>
          <w:tcPr>
            <w:tcW w:w="200" w:type="dxa"/>
            <w:tcBorders>
              <w:top w:val="nil"/>
              <w:left w:val="nil"/>
              <w:bottom w:val="nil"/>
              <w:right w:val="nil"/>
            </w:tcBorders>
            <w:shd w:val="clear" w:color="000000" w:fill="D9D9D9"/>
            <w:noWrap/>
            <w:hideMark/>
          </w:tcPr>
          <w:p w14:paraId="245A803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D9D9D9"/>
            <w:noWrap/>
            <w:hideMark/>
          </w:tcPr>
          <w:p w14:paraId="3EF56757"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D9D9D9"/>
            <w:noWrap/>
            <w:hideMark/>
          </w:tcPr>
          <w:p w14:paraId="678A58A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D9D9D9"/>
            <w:noWrap/>
            <w:hideMark/>
          </w:tcPr>
          <w:p w14:paraId="41772B7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D9D9D9"/>
            <w:noWrap/>
            <w:hideMark/>
          </w:tcPr>
          <w:p w14:paraId="13CC8F8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D9D9D9"/>
            <w:noWrap/>
            <w:hideMark/>
          </w:tcPr>
          <w:p w14:paraId="29AA6F6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w:t>
            </w:r>
          </w:p>
        </w:tc>
        <w:tc>
          <w:tcPr>
            <w:tcW w:w="851" w:type="dxa"/>
            <w:tcBorders>
              <w:top w:val="nil"/>
              <w:left w:val="nil"/>
              <w:bottom w:val="nil"/>
              <w:right w:val="nil"/>
            </w:tcBorders>
            <w:shd w:val="clear" w:color="000000" w:fill="D9D9D9"/>
            <w:noWrap/>
            <w:hideMark/>
          </w:tcPr>
          <w:p w14:paraId="0A80A1F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4</w:t>
            </w:r>
          </w:p>
        </w:tc>
        <w:tc>
          <w:tcPr>
            <w:tcW w:w="709" w:type="dxa"/>
            <w:tcBorders>
              <w:top w:val="nil"/>
              <w:left w:val="nil"/>
              <w:bottom w:val="nil"/>
              <w:right w:val="nil"/>
            </w:tcBorders>
            <w:shd w:val="clear" w:color="000000" w:fill="D9D9D9"/>
            <w:noWrap/>
            <w:hideMark/>
          </w:tcPr>
          <w:p w14:paraId="03D1D7D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31</w:t>
            </w:r>
          </w:p>
        </w:tc>
        <w:tc>
          <w:tcPr>
            <w:tcW w:w="160" w:type="dxa"/>
            <w:tcBorders>
              <w:top w:val="nil"/>
              <w:left w:val="nil"/>
              <w:bottom w:val="nil"/>
              <w:right w:val="nil"/>
            </w:tcBorders>
            <w:shd w:val="clear" w:color="000000" w:fill="D9D9D9"/>
            <w:noWrap/>
            <w:hideMark/>
          </w:tcPr>
          <w:p w14:paraId="24516663"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D9D9D9"/>
            <w:noWrap/>
            <w:hideMark/>
          </w:tcPr>
          <w:p w14:paraId="61D1A84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43325EA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D9D9D9"/>
            <w:noWrap/>
            <w:hideMark/>
          </w:tcPr>
          <w:p w14:paraId="7E64F2F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D9D9D9"/>
            <w:noWrap/>
            <w:hideMark/>
          </w:tcPr>
          <w:p w14:paraId="01CAF66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37116C4B" w14:textId="77777777" w:rsidTr="006652DF">
        <w:trPr>
          <w:trHeight w:val="300"/>
        </w:trPr>
        <w:tc>
          <w:tcPr>
            <w:tcW w:w="1008" w:type="dxa"/>
            <w:tcBorders>
              <w:top w:val="nil"/>
              <w:left w:val="nil"/>
              <w:bottom w:val="nil"/>
              <w:right w:val="nil"/>
            </w:tcBorders>
            <w:shd w:val="clear" w:color="000000" w:fill="FFFFFF"/>
            <w:noWrap/>
            <w:hideMark/>
          </w:tcPr>
          <w:p w14:paraId="194DD271"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Yield.Avi</w:t>
            </w:r>
          </w:p>
        </w:tc>
        <w:tc>
          <w:tcPr>
            <w:tcW w:w="567" w:type="dxa"/>
            <w:tcBorders>
              <w:top w:val="nil"/>
              <w:left w:val="nil"/>
              <w:bottom w:val="nil"/>
              <w:right w:val="nil"/>
            </w:tcBorders>
            <w:shd w:val="clear" w:color="000000" w:fill="FFFFFF"/>
            <w:noWrap/>
            <w:hideMark/>
          </w:tcPr>
          <w:p w14:paraId="598F05E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5EE33CD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2</w:t>
            </w:r>
          </w:p>
        </w:tc>
        <w:tc>
          <w:tcPr>
            <w:tcW w:w="567" w:type="dxa"/>
            <w:tcBorders>
              <w:top w:val="nil"/>
              <w:left w:val="nil"/>
              <w:bottom w:val="nil"/>
              <w:right w:val="nil"/>
            </w:tcBorders>
            <w:shd w:val="clear" w:color="000000" w:fill="FFFFFF"/>
            <w:noWrap/>
            <w:hideMark/>
          </w:tcPr>
          <w:p w14:paraId="4EA326CE"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1 ; 2</w:t>
            </w:r>
          </w:p>
        </w:tc>
        <w:tc>
          <w:tcPr>
            <w:tcW w:w="992" w:type="dxa"/>
            <w:tcBorders>
              <w:top w:val="nil"/>
              <w:left w:val="nil"/>
              <w:bottom w:val="nil"/>
              <w:right w:val="nil"/>
            </w:tcBorders>
            <w:shd w:val="clear" w:color="000000" w:fill="FFFFFF"/>
            <w:noWrap/>
            <w:hideMark/>
          </w:tcPr>
          <w:p w14:paraId="641486F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8</w:t>
            </w:r>
            <w:r w:rsidRPr="006652DF">
              <w:rPr>
                <w:rFonts w:ascii="Calibri" w:eastAsia="Times New Roman" w:hAnsi="Calibri" w:cs="Times New Roman"/>
                <w:color w:val="FFFFFF"/>
                <w:kern w:val="0"/>
                <w:sz w:val="18"/>
                <w:szCs w:val="20"/>
                <w:lang w:eastAsia="fr-FR" w:bidi="ar-SA"/>
              </w:rPr>
              <w:t>'</w:t>
            </w:r>
            <w:r w:rsidRPr="006652DF">
              <w:rPr>
                <w:rFonts w:ascii="Calibri" w:eastAsia="Times New Roman" w:hAnsi="Calibri" w:cs="Times New Roman"/>
                <w:color w:val="000000"/>
                <w:kern w:val="0"/>
                <w:sz w:val="18"/>
                <w:szCs w:val="20"/>
                <w:lang w:eastAsia="fr-FR" w:bidi="ar-SA"/>
              </w:rPr>
              <w:t xml:space="preserve"> - 18</w:t>
            </w:r>
          </w:p>
        </w:tc>
        <w:tc>
          <w:tcPr>
            <w:tcW w:w="200" w:type="dxa"/>
            <w:tcBorders>
              <w:top w:val="nil"/>
              <w:left w:val="nil"/>
              <w:bottom w:val="nil"/>
              <w:right w:val="nil"/>
            </w:tcBorders>
            <w:shd w:val="clear" w:color="000000" w:fill="FFFFFF"/>
            <w:noWrap/>
            <w:hideMark/>
          </w:tcPr>
          <w:p w14:paraId="028AEC02"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268CAB4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7D9345C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8" w:type="dxa"/>
            <w:tcBorders>
              <w:top w:val="nil"/>
              <w:left w:val="nil"/>
              <w:bottom w:val="nil"/>
              <w:right w:val="nil"/>
            </w:tcBorders>
            <w:shd w:val="clear" w:color="000000" w:fill="FFFFFF"/>
            <w:noWrap/>
            <w:hideMark/>
          </w:tcPr>
          <w:p w14:paraId="15E9516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32E5333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1DEB7BE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851" w:type="dxa"/>
            <w:tcBorders>
              <w:top w:val="nil"/>
              <w:left w:val="nil"/>
              <w:bottom w:val="nil"/>
              <w:right w:val="nil"/>
            </w:tcBorders>
            <w:shd w:val="clear" w:color="000000" w:fill="FFFFFF"/>
            <w:noWrap/>
            <w:hideMark/>
          </w:tcPr>
          <w:p w14:paraId="6DFE5251"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709" w:type="dxa"/>
            <w:tcBorders>
              <w:top w:val="nil"/>
              <w:left w:val="nil"/>
              <w:bottom w:val="nil"/>
              <w:right w:val="nil"/>
            </w:tcBorders>
            <w:shd w:val="clear" w:color="000000" w:fill="FFFFFF"/>
            <w:noWrap/>
            <w:hideMark/>
          </w:tcPr>
          <w:p w14:paraId="50A8ED1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160" w:type="dxa"/>
            <w:tcBorders>
              <w:top w:val="nil"/>
              <w:left w:val="nil"/>
              <w:bottom w:val="nil"/>
              <w:right w:val="nil"/>
            </w:tcBorders>
            <w:shd w:val="clear" w:color="000000" w:fill="FFFFFF"/>
            <w:noWrap/>
            <w:hideMark/>
          </w:tcPr>
          <w:p w14:paraId="7B9CEC1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4E19180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33BC767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0</w:t>
            </w:r>
          </w:p>
        </w:tc>
        <w:tc>
          <w:tcPr>
            <w:tcW w:w="567" w:type="dxa"/>
            <w:tcBorders>
              <w:top w:val="nil"/>
              <w:left w:val="nil"/>
              <w:bottom w:val="nil"/>
              <w:right w:val="nil"/>
            </w:tcBorders>
            <w:shd w:val="clear" w:color="000000" w:fill="FFFFFF"/>
            <w:noWrap/>
            <w:hideMark/>
          </w:tcPr>
          <w:p w14:paraId="6019F24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c>
          <w:tcPr>
            <w:tcW w:w="632" w:type="dxa"/>
            <w:tcBorders>
              <w:top w:val="nil"/>
              <w:left w:val="nil"/>
              <w:bottom w:val="nil"/>
              <w:right w:val="nil"/>
            </w:tcBorders>
            <w:shd w:val="clear" w:color="000000" w:fill="FFFFFF"/>
            <w:noWrap/>
            <w:hideMark/>
          </w:tcPr>
          <w:p w14:paraId="5E712E7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w:t>
            </w:r>
          </w:p>
        </w:tc>
      </w:tr>
      <w:tr w:rsidR="006652DF" w:rsidRPr="006652DF" w14:paraId="2D6663F8" w14:textId="77777777" w:rsidTr="006652DF">
        <w:trPr>
          <w:trHeight w:val="300"/>
        </w:trPr>
        <w:tc>
          <w:tcPr>
            <w:tcW w:w="1008" w:type="dxa"/>
            <w:tcBorders>
              <w:top w:val="nil"/>
              <w:left w:val="nil"/>
              <w:bottom w:val="nil"/>
              <w:right w:val="nil"/>
            </w:tcBorders>
            <w:shd w:val="clear" w:color="000000" w:fill="FFFFFF"/>
            <w:noWrap/>
            <w:hideMark/>
          </w:tcPr>
          <w:p w14:paraId="32744EE4" w14:textId="77777777" w:rsidR="006652DF" w:rsidRPr="006652DF" w:rsidRDefault="006652DF" w:rsidP="006652DF">
            <w:pPr>
              <w:widowControl/>
              <w:suppressAutoHyphens w:val="0"/>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67" w:type="dxa"/>
            <w:tcBorders>
              <w:top w:val="nil"/>
              <w:left w:val="nil"/>
              <w:bottom w:val="nil"/>
              <w:right w:val="nil"/>
            </w:tcBorders>
            <w:shd w:val="clear" w:color="000000" w:fill="FFFFFF"/>
            <w:noWrap/>
            <w:hideMark/>
          </w:tcPr>
          <w:p w14:paraId="33034BE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67" w:type="dxa"/>
            <w:tcBorders>
              <w:top w:val="nil"/>
              <w:left w:val="nil"/>
              <w:bottom w:val="nil"/>
              <w:right w:val="nil"/>
            </w:tcBorders>
            <w:shd w:val="clear" w:color="000000" w:fill="FFFFFF"/>
            <w:noWrap/>
            <w:hideMark/>
          </w:tcPr>
          <w:p w14:paraId="2083DD46"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67" w:type="dxa"/>
            <w:tcBorders>
              <w:top w:val="nil"/>
              <w:left w:val="nil"/>
              <w:bottom w:val="nil"/>
              <w:right w:val="nil"/>
            </w:tcBorders>
            <w:shd w:val="clear" w:color="000000" w:fill="FFFFFF"/>
            <w:noWrap/>
            <w:hideMark/>
          </w:tcPr>
          <w:p w14:paraId="7DCC7FA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992" w:type="dxa"/>
            <w:tcBorders>
              <w:top w:val="nil"/>
              <w:left w:val="nil"/>
              <w:bottom w:val="nil"/>
              <w:right w:val="nil"/>
            </w:tcBorders>
            <w:shd w:val="clear" w:color="000000" w:fill="FFFFFF"/>
            <w:noWrap/>
            <w:hideMark/>
          </w:tcPr>
          <w:p w14:paraId="294AE0F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200" w:type="dxa"/>
            <w:tcBorders>
              <w:top w:val="nil"/>
              <w:left w:val="nil"/>
              <w:bottom w:val="nil"/>
              <w:right w:val="nil"/>
            </w:tcBorders>
            <w:shd w:val="clear" w:color="000000" w:fill="FFFFFF"/>
            <w:noWrap/>
            <w:hideMark/>
          </w:tcPr>
          <w:p w14:paraId="38A665B0"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09" w:type="dxa"/>
            <w:tcBorders>
              <w:top w:val="nil"/>
              <w:left w:val="nil"/>
              <w:bottom w:val="nil"/>
              <w:right w:val="nil"/>
            </w:tcBorders>
            <w:shd w:val="clear" w:color="000000" w:fill="FFFFFF"/>
            <w:noWrap/>
            <w:hideMark/>
          </w:tcPr>
          <w:p w14:paraId="6297DC9D"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851" w:type="dxa"/>
            <w:tcBorders>
              <w:top w:val="nil"/>
              <w:left w:val="nil"/>
              <w:bottom w:val="nil"/>
              <w:right w:val="nil"/>
            </w:tcBorders>
            <w:shd w:val="clear" w:color="000000" w:fill="FFFFFF"/>
            <w:noWrap/>
            <w:hideMark/>
          </w:tcPr>
          <w:p w14:paraId="76F75E68"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708" w:type="dxa"/>
            <w:tcBorders>
              <w:top w:val="nil"/>
              <w:left w:val="nil"/>
              <w:bottom w:val="nil"/>
              <w:right w:val="nil"/>
            </w:tcBorders>
            <w:shd w:val="clear" w:color="000000" w:fill="FFFFFF"/>
            <w:noWrap/>
            <w:hideMark/>
          </w:tcPr>
          <w:p w14:paraId="0AEDA0C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160" w:type="dxa"/>
            <w:tcBorders>
              <w:top w:val="nil"/>
              <w:left w:val="nil"/>
              <w:bottom w:val="nil"/>
              <w:right w:val="nil"/>
            </w:tcBorders>
            <w:shd w:val="clear" w:color="000000" w:fill="FFFFFF"/>
            <w:noWrap/>
            <w:hideMark/>
          </w:tcPr>
          <w:p w14:paraId="593E132A"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485" w:type="dxa"/>
            <w:tcBorders>
              <w:top w:val="nil"/>
              <w:left w:val="nil"/>
              <w:bottom w:val="nil"/>
              <w:right w:val="nil"/>
            </w:tcBorders>
            <w:shd w:val="clear" w:color="000000" w:fill="FFFFFF"/>
            <w:noWrap/>
            <w:hideMark/>
          </w:tcPr>
          <w:p w14:paraId="3D720B6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851" w:type="dxa"/>
            <w:tcBorders>
              <w:top w:val="nil"/>
              <w:left w:val="nil"/>
              <w:bottom w:val="nil"/>
              <w:right w:val="nil"/>
            </w:tcBorders>
            <w:shd w:val="clear" w:color="000000" w:fill="FFFFFF"/>
            <w:noWrap/>
            <w:hideMark/>
          </w:tcPr>
          <w:p w14:paraId="5B2D0DEB"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709" w:type="dxa"/>
            <w:tcBorders>
              <w:top w:val="nil"/>
              <w:left w:val="nil"/>
              <w:bottom w:val="nil"/>
              <w:right w:val="nil"/>
            </w:tcBorders>
            <w:shd w:val="clear" w:color="000000" w:fill="FFFFFF"/>
            <w:noWrap/>
            <w:hideMark/>
          </w:tcPr>
          <w:p w14:paraId="6A7BC87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160" w:type="dxa"/>
            <w:tcBorders>
              <w:top w:val="nil"/>
              <w:left w:val="nil"/>
              <w:bottom w:val="nil"/>
              <w:right w:val="nil"/>
            </w:tcBorders>
            <w:shd w:val="clear" w:color="000000" w:fill="FFFFFF"/>
            <w:noWrap/>
            <w:hideMark/>
          </w:tcPr>
          <w:p w14:paraId="29C72E44"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90" w:type="dxa"/>
            <w:tcBorders>
              <w:top w:val="nil"/>
              <w:left w:val="nil"/>
              <w:bottom w:val="nil"/>
              <w:right w:val="nil"/>
            </w:tcBorders>
            <w:shd w:val="clear" w:color="000000" w:fill="FFFFFF"/>
            <w:noWrap/>
            <w:hideMark/>
          </w:tcPr>
          <w:p w14:paraId="5946ABC9"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67" w:type="dxa"/>
            <w:tcBorders>
              <w:top w:val="nil"/>
              <w:left w:val="nil"/>
              <w:bottom w:val="nil"/>
              <w:right w:val="nil"/>
            </w:tcBorders>
            <w:shd w:val="clear" w:color="000000" w:fill="FFFFFF"/>
            <w:noWrap/>
            <w:hideMark/>
          </w:tcPr>
          <w:p w14:paraId="073929FF"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567" w:type="dxa"/>
            <w:tcBorders>
              <w:top w:val="nil"/>
              <w:left w:val="nil"/>
              <w:bottom w:val="nil"/>
              <w:right w:val="nil"/>
            </w:tcBorders>
            <w:shd w:val="clear" w:color="000000" w:fill="FFFFFF"/>
            <w:noWrap/>
            <w:hideMark/>
          </w:tcPr>
          <w:p w14:paraId="370CC54C"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c>
          <w:tcPr>
            <w:tcW w:w="632" w:type="dxa"/>
            <w:tcBorders>
              <w:top w:val="nil"/>
              <w:left w:val="nil"/>
              <w:bottom w:val="nil"/>
              <w:right w:val="nil"/>
            </w:tcBorders>
            <w:shd w:val="clear" w:color="000000" w:fill="FFFFFF"/>
            <w:noWrap/>
            <w:hideMark/>
          </w:tcPr>
          <w:p w14:paraId="7FF9CE25" w14:textId="77777777" w:rsidR="006652DF" w:rsidRPr="006652DF" w:rsidRDefault="006652DF" w:rsidP="006652DF">
            <w:pPr>
              <w:widowControl/>
              <w:suppressAutoHyphens w:val="0"/>
              <w:jc w:val="center"/>
              <w:rPr>
                <w:rFonts w:ascii="Calibri" w:eastAsia="Times New Roman" w:hAnsi="Calibri" w:cs="Times New Roman"/>
                <w:color w:val="000000"/>
                <w:kern w:val="0"/>
                <w:sz w:val="18"/>
                <w:szCs w:val="20"/>
                <w:lang w:eastAsia="fr-FR" w:bidi="ar-SA"/>
              </w:rPr>
            </w:pPr>
            <w:r w:rsidRPr="006652DF">
              <w:rPr>
                <w:rFonts w:ascii="Calibri" w:eastAsia="Times New Roman" w:hAnsi="Calibri" w:cs="Times New Roman"/>
                <w:color w:val="000000"/>
                <w:kern w:val="0"/>
                <w:sz w:val="18"/>
                <w:szCs w:val="20"/>
                <w:lang w:eastAsia="fr-FR" w:bidi="ar-SA"/>
              </w:rPr>
              <w:t> </w:t>
            </w:r>
          </w:p>
        </w:tc>
      </w:tr>
      <w:tr w:rsidR="006652DF" w:rsidRPr="006652DF" w14:paraId="4CCEDB18" w14:textId="77777777" w:rsidTr="006652DF">
        <w:trPr>
          <w:trHeight w:val="300"/>
        </w:trPr>
        <w:tc>
          <w:tcPr>
            <w:tcW w:w="1008" w:type="dxa"/>
            <w:tcBorders>
              <w:top w:val="single" w:sz="4" w:space="0" w:color="auto"/>
              <w:left w:val="nil"/>
              <w:bottom w:val="single" w:sz="4" w:space="0" w:color="auto"/>
              <w:right w:val="nil"/>
            </w:tcBorders>
            <w:shd w:val="clear" w:color="000000" w:fill="FFFFFF"/>
            <w:noWrap/>
            <w:vAlign w:val="bottom"/>
            <w:hideMark/>
          </w:tcPr>
          <w:p w14:paraId="4C15E4C1"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Total</w:t>
            </w:r>
          </w:p>
        </w:tc>
        <w:tc>
          <w:tcPr>
            <w:tcW w:w="567" w:type="dxa"/>
            <w:tcBorders>
              <w:top w:val="single" w:sz="4" w:space="0" w:color="auto"/>
              <w:left w:val="nil"/>
              <w:bottom w:val="single" w:sz="4" w:space="0" w:color="auto"/>
              <w:right w:val="nil"/>
            </w:tcBorders>
            <w:shd w:val="clear" w:color="000000" w:fill="FFFFFF"/>
            <w:noWrap/>
            <w:vAlign w:val="bottom"/>
            <w:hideMark/>
          </w:tcPr>
          <w:p w14:paraId="7EF59AC6"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182</w:t>
            </w:r>
          </w:p>
        </w:tc>
        <w:tc>
          <w:tcPr>
            <w:tcW w:w="567" w:type="dxa"/>
            <w:tcBorders>
              <w:top w:val="single" w:sz="4" w:space="0" w:color="auto"/>
              <w:left w:val="nil"/>
              <w:bottom w:val="single" w:sz="4" w:space="0" w:color="auto"/>
              <w:right w:val="nil"/>
            </w:tcBorders>
            <w:shd w:val="clear" w:color="000000" w:fill="FFFFFF"/>
            <w:noWrap/>
            <w:vAlign w:val="bottom"/>
            <w:hideMark/>
          </w:tcPr>
          <w:p w14:paraId="2F3F95E4"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73</w:t>
            </w:r>
          </w:p>
        </w:tc>
        <w:tc>
          <w:tcPr>
            <w:tcW w:w="567" w:type="dxa"/>
            <w:tcBorders>
              <w:top w:val="single" w:sz="4" w:space="0" w:color="auto"/>
              <w:left w:val="nil"/>
              <w:bottom w:val="single" w:sz="4" w:space="0" w:color="auto"/>
              <w:right w:val="nil"/>
            </w:tcBorders>
            <w:shd w:val="clear" w:color="000000" w:fill="FFFFFF"/>
            <w:noWrap/>
            <w:vAlign w:val="bottom"/>
            <w:hideMark/>
          </w:tcPr>
          <w:p w14:paraId="35661E53"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992" w:type="dxa"/>
            <w:tcBorders>
              <w:top w:val="single" w:sz="4" w:space="0" w:color="auto"/>
              <w:left w:val="nil"/>
              <w:bottom w:val="single" w:sz="4" w:space="0" w:color="auto"/>
              <w:right w:val="nil"/>
            </w:tcBorders>
            <w:shd w:val="clear" w:color="000000" w:fill="FFFFFF"/>
            <w:noWrap/>
            <w:vAlign w:val="bottom"/>
            <w:hideMark/>
          </w:tcPr>
          <w:p w14:paraId="29A62F78"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200" w:type="dxa"/>
            <w:tcBorders>
              <w:top w:val="single" w:sz="4" w:space="0" w:color="auto"/>
              <w:left w:val="nil"/>
              <w:bottom w:val="single" w:sz="4" w:space="0" w:color="auto"/>
              <w:right w:val="nil"/>
            </w:tcBorders>
            <w:shd w:val="clear" w:color="000000" w:fill="FFFFFF"/>
            <w:noWrap/>
            <w:vAlign w:val="bottom"/>
            <w:hideMark/>
          </w:tcPr>
          <w:p w14:paraId="6777D5D9"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09" w:type="dxa"/>
            <w:tcBorders>
              <w:top w:val="single" w:sz="4" w:space="0" w:color="auto"/>
              <w:left w:val="nil"/>
              <w:bottom w:val="single" w:sz="4" w:space="0" w:color="auto"/>
              <w:right w:val="nil"/>
            </w:tcBorders>
            <w:shd w:val="clear" w:color="000000" w:fill="FFFFFF"/>
            <w:noWrap/>
            <w:vAlign w:val="bottom"/>
            <w:hideMark/>
          </w:tcPr>
          <w:p w14:paraId="7B53DC11"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48</w:t>
            </w:r>
          </w:p>
        </w:tc>
        <w:tc>
          <w:tcPr>
            <w:tcW w:w="851" w:type="dxa"/>
            <w:tcBorders>
              <w:top w:val="single" w:sz="4" w:space="0" w:color="auto"/>
              <w:left w:val="nil"/>
              <w:bottom w:val="single" w:sz="4" w:space="0" w:color="auto"/>
              <w:right w:val="nil"/>
            </w:tcBorders>
            <w:shd w:val="clear" w:color="000000" w:fill="FFFFFF"/>
            <w:noWrap/>
            <w:vAlign w:val="bottom"/>
            <w:hideMark/>
          </w:tcPr>
          <w:p w14:paraId="5B2E6A24"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708" w:type="dxa"/>
            <w:tcBorders>
              <w:top w:val="single" w:sz="4" w:space="0" w:color="auto"/>
              <w:left w:val="nil"/>
              <w:bottom w:val="single" w:sz="4" w:space="0" w:color="auto"/>
              <w:right w:val="nil"/>
            </w:tcBorders>
            <w:shd w:val="clear" w:color="000000" w:fill="FFFFFF"/>
            <w:noWrap/>
            <w:vAlign w:val="bottom"/>
            <w:hideMark/>
          </w:tcPr>
          <w:p w14:paraId="1EAACB8F"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160" w:type="dxa"/>
            <w:tcBorders>
              <w:top w:val="single" w:sz="4" w:space="0" w:color="auto"/>
              <w:left w:val="nil"/>
              <w:bottom w:val="single" w:sz="4" w:space="0" w:color="auto"/>
              <w:right w:val="nil"/>
            </w:tcBorders>
            <w:shd w:val="clear" w:color="000000" w:fill="FFFFFF"/>
            <w:noWrap/>
            <w:vAlign w:val="bottom"/>
            <w:hideMark/>
          </w:tcPr>
          <w:p w14:paraId="194FF6AE"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485" w:type="dxa"/>
            <w:tcBorders>
              <w:top w:val="single" w:sz="4" w:space="0" w:color="auto"/>
              <w:left w:val="nil"/>
              <w:bottom w:val="single" w:sz="4" w:space="0" w:color="auto"/>
              <w:right w:val="nil"/>
            </w:tcBorders>
            <w:shd w:val="clear" w:color="000000" w:fill="FFFFFF"/>
            <w:noWrap/>
            <w:vAlign w:val="bottom"/>
            <w:hideMark/>
          </w:tcPr>
          <w:p w14:paraId="2BB740DC"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36</w:t>
            </w:r>
          </w:p>
        </w:tc>
        <w:tc>
          <w:tcPr>
            <w:tcW w:w="851" w:type="dxa"/>
            <w:tcBorders>
              <w:top w:val="single" w:sz="4" w:space="0" w:color="auto"/>
              <w:left w:val="nil"/>
              <w:bottom w:val="single" w:sz="4" w:space="0" w:color="auto"/>
              <w:right w:val="nil"/>
            </w:tcBorders>
            <w:shd w:val="clear" w:color="000000" w:fill="FFFFFF"/>
            <w:noWrap/>
            <w:vAlign w:val="bottom"/>
            <w:hideMark/>
          </w:tcPr>
          <w:p w14:paraId="304014FC"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709" w:type="dxa"/>
            <w:tcBorders>
              <w:top w:val="single" w:sz="4" w:space="0" w:color="auto"/>
              <w:left w:val="nil"/>
              <w:bottom w:val="single" w:sz="4" w:space="0" w:color="auto"/>
              <w:right w:val="nil"/>
            </w:tcBorders>
            <w:shd w:val="clear" w:color="000000" w:fill="FFFFFF"/>
            <w:noWrap/>
            <w:vAlign w:val="bottom"/>
            <w:hideMark/>
          </w:tcPr>
          <w:p w14:paraId="2571D1F4"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160" w:type="dxa"/>
            <w:tcBorders>
              <w:top w:val="single" w:sz="4" w:space="0" w:color="auto"/>
              <w:left w:val="nil"/>
              <w:bottom w:val="single" w:sz="4" w:space="0" w:color="auto"/>
              <w:right w:val="nil"/>
            </w:tcBorders>
            <w:shd w:val="clear" w:color="000000" w:fill="FFFFFF"/>
            <w:noWrap/>
            <w:vAlign w:val="bottom"/>
            <w:hideMark/>
          </w:tcPr>
          <w:p w14:paraId="1A903F48"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90" w:type="dxa"/>
            <w:tcBorders>
              <w:top w:val="single" w:sz="4" w:space="0" w:color="auto"/>
              <w:left w:val="nil"/>
              <w:bottom w:val="single" w:sz="4" w:space="0" w:color="auto"/>
              <w:right w:val="nil"/>
            </w:tcBorders>
            <w:shd w:val="clear" w:color="000000" w:fill="FFFFFF"/>
            <w:noWrap/>
            <w:vAlign w:val="bottom"/>
            <w:hideMark/>
          </w:tcPr>
          <w:p w14:paraId="2AD86521"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9</w:t>
            </w:r>
          </w:p>
        </w:tc>
        <w:tc>
          <w:tcPr>
            <w:tcW w:w="567" w:type="dxa"/>
            <w:tcBorders>
              <w:top w:val="single" w:sz="4" w:space="0" w:color="auto"/>
              <w:left w:val="nil"/>
              <w:bottom w:val="single" w:sz="4" w:space="0" w:color="auto"/>
              <w:right w:val="nil"/>
            </w:tcBorders>
            <w:shd w:val="clear" w:color="000000" w:fill="FFFFFF"/>
            <w:noWrap/>
            <w:vAlign w:val="bottom"/>
            <w:hideMark/>
          </w:tcPr>
          <w:p w14:paraId="4AAC70C3"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567" w:type="dxa"/>
            <w:tcBorders>
              <w:top w:val="single" w:sz="4" w:space="0" w:color="auto"/>
              <w:left w:val="nil"/>
              <w:bottom w:val="single" w:sz="4" w:space="0" w:color="auto"/>
              <w:right w:val="nil"/>
            </w:tcBorders>
            <w:shd w:val="clear" w:color="000000" w:fill="FFFFFF"/>
            <w:noWrap/>
            <w:vAlign w:val="bottom"/>
            <w:hideMark/>
          </w:tcPr>
          <w:p w14:paraId="546ED782"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c>
          <w:tcPr>
            <w:tcW w:w="632" w:type="dxa"/>
            <w:tcBorders>
              <w:top w:val="single" w:sz="4" w:space="0" w:color="auto"/>
              <w:left w:val="nil"/>
              <w:bottom w:val="single" w:sz="4" w:space="0" w:color="auto"/>
              <w:right w:val="nil"/>
            </w:tcBorders>
            <w:shd w:val="clear" w:color="000000" w:fill="FFFFFF"/>
            <w:noWrap/>
            <w:vAlign w:val="bottom"/>
            <w:hideMark/>
          </w:tcPr>
          <w:p w14:paraId="3B4E7AEE" w14:textId="77777777" w:rsidR="006652DF" w:rsidRPr="006652DF" w:rsidRDefault="006652DF" w:rsidP="006652DF">
            <w:pPr>
              <w:widowControl/>
              <w:suppressAutoHyphens w:val="0"/>
              <w:jc w:val="center"/>
              <w:rPr>
                <w:rFonts w:ascii="Calibri" w:eastAsia="Times New Roman" w:hAnsi="Calibri" w:cs="Times New Roman"/>
                <w:b/>
                <w:bCs/>
                <w:color w:val="000000"/>
                <w:kern w:val="0"/>
                <w:sz w:val="18"/>
                <w:szCs w:val="20"/>
                <w:lang w:eastAsia="fr-FR" w:bidi="ar-SA"/>
              </w:rPr>
            </w:pPr>
            <w:r w:rsidRPr="006652DF">
              <w:rPr>
                <w:rFonts w:ascii="Calibri" w:eastAsia="Times New Roman" w:hAnsi="Calibri" w:cs="Times New Roman"/>
                <w:b/>
                <w:bCs/>
                <w:color w:val="000000"/>
                <w:kern w:val="0"/>
                <w:sz w:val="18"/>
                <w:szCs w:val="20"/>
                <w:lang w:eastAsia="fr-FR" w:bidi="ar-SA"/>
              </w:rPr>
              <w:t> </w:t>
            </w:r>
          </w:p>
        </w:tc>
      </w:tr>
    </w:tbl>
    <w:p w14:paraId="36B8115E" w14:textId="77777777" w:rsidR="006652DF" w:rsidRDefault="006652DF" w:rsidP="0002616E">
      <w:pPr>
        <w:pStyle w:val="Corpsdetexte"/>
        <w:spacing w:after="200"/>
        <w:ind w:right="140"/>
        <w:jc w:val="both"/>
        <w:rPr>
          <w:rFonts w:asciiTheme="majorHAnsi" w:hAnsiTheme="majorHAnsi"/>
          <w:sz w:val="22"/>
        </w:rPr>
      </w:pPr>
      <w:r>
        <w:rPr>
          <w:rFonts w:asciiTheme="majorHAnsi" w:hAnsiTheme="majorHAnsi"/>
          <w:sz w:val="22"/>
        </w:rPr>
        <w:t>Tableau 2 : Synthèse des associations détectées en GWA</w:t>
      </w:r>
    </w:p>
    <w:p w14:paraId="4E7F2155" w14:textId="77777777" w:rsidR="00BB7EC4" w:rsidRDefault="00BB7EC4" w:rsidP="0002616E">
      <w:pPr>
        <w:pStyle w:val="Corpsdetexte"/>
        <w:spacing w:after="200"/>
        <w:ind w:right="140"/>
        <w:jc w:val="both"/>
        <w:rPr>
          <w:rFonts w:asciiTheme="majorHAnsi" w:hAnsiTheme="majorHAnsi"/>
          <w:sz w:val="22"/>
        </w:rPr>
      </w:pPr>
    </w:p>
    <w:p w14:paraId="7E2EA014" w14:textId="77777777" w:rsidR="006652DF" w:rsidRPr="0002616E" w:rsidRDefault="006652DF" w:rsidP="0002616E">
      <w:pPr>
        <w:pStyle w:val="Corpsdetexte"/>
        <w:spacing w:after="200"/>
        <w:ind w:right="140"/>
        <w:jc w:val="both"/>
        <w:rPr>
          <w:rFonts w:asciiTheme="majorHAnsi" w:hAnsiTheme="majorHAnsi"/>
          <w:sz w:val="22"/>
        </w:rPr>
      </w:pPr>
      <w:r>
        <w:rPr>
          <w:rFonts w:asciiTheme="majorHAnsi" w:hAnsiTheme="majorHAnsi"/>
          <w:sz w:val="22"/>
        </w:rPr>
        <w:t>La figu</w:t>
      </w:r>
      <w:r w:rsidR="00BB7EC4">
        <w:rPr>
          <w:rFonts w:asciiTheme="majorHAnsi" w:hAnsiTheme="majorHAnsi"/>
          <w:sz w:val="22"/>
        </w:rPr>
        <w:t>re 7</w:t>
      </w:r>
      <w:r>
        <w:rPr>
          <w:rFonts w:asciiTheme="majorHAnsi" w:hAnsiTheme="majorHAnsi"/>
          <w:sz w:val="22"/>
        </w:rPr>
        <w:t xml:space="preserve"> illustre un Manhattan Plot pour la concentration en glucose. Une publication de ces résultats est en cours de rédaction.</w:t>
      </w:r>
    </w:p>
    <w:p w14:paraId="5DC0162D" w14:textId="77777777" w:rsidR="00D30485" w:rsidRPr="00D30485" w:rsidRDefault="00D30485">
      <w:pPr>
        <w:pStyle w:val="Titre3"/>
        <w:rPr>
          <w:rFonts w:asciiTheme="majorHAnsi" w:hAnsiTheme="majorHAnsi"/>
          <w:b w:val="0"/>
          <w:color w:val="548DD4" w:themeColor="text2" w:themeTint="99"/>
          <w:sz w:val="22"/>
        </w:rPr>
      </w:pPr>
      <w:r w:rsidRPr="00D30485">
        <w:rPr>
          <w:rFonts w:asciiTheme="majorHAnsi" w:hAnsiTheme="majorHAnsi"/>
          <w:b w:val="0"/>
          <w:noProof/>
          <w:color w:val="548DD4" w:themeColor="text2" w:themeTint="99"/>
          <w:sz w:val="22"/>
          <w:lang w:eastAsia="fr-FR" w:bidi="ar-SA"/>
        </w:rPr>
        <w:drawing>
          <wp:inline distT="0" distB="0" distL="0" distR="0" wp14:anchorId="261E0FE7" wp14:editId="6A54C7D7">
            <wp:extent cx="5972810" cy="1846580"/>
            <wp:effectExtent l="0" t="0" r="0" b="762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cstate="print"/>
                    <a:srcRect/>
                    <a:stretch>
                      <a:fillRect/>
                    </a:stretch>
                  </pic:blipFill>
                  <pic:spPr bwMode="auto">
                    <a:xfrm>
                      <a:off x="0" y="0"/>
                      <a:ext cx="5972810" cy="1846580"/>
                    </a:xfrm>
                    <a:prstGeom prst="rect">
                      <a:avLst/>
                    </a:prstGeom>
                    <a:noFill/>
                    <a:ln w="9525">
                      <a:noFill/>
                      <a:miter lim="800000"/>
                      <a:headEnd/>
                      <a:tailEnd/>
                    </a:ln>
                  </pic:spPr>
                </pic:pic>
              </a:graphicData>
            </a:graphic>
          </wp:inline>
        </w:drawing>
      </w:r>
    </w:p>
    <w:p w14:paraId="2D1FA061" w14:textId="77777777" w:rsidR="006652DF" w:rsidRPr="00BB7EC4" w:rsidRDefault="006652DF">
      <w:pPr>
        <w:pStyle w:val="Corpsdetexte"/>
        <w:spacing w:after="200"/>
        <w:ind w:right="140"/>
        <w:jc w:val="both"/>
        <w:rPr>
          <w:rFonts w:asciiTheme="majorHAnsi" w:hAnsiTheme="majorHAnsi"/>
          <w:sz w:val="22"/>
        </w:rPr>
      </w:pPr>
      <w:r w:rsidRPr="00BB7EC4">
        <w:rPr>
          <w:rFonts w:asciiTheme="majorHAnsi" w:hAnsiTheme="majorHAnsi"/>
          <w:sz w:val="22"/>
        </w:rPr>
        <w:t>Figure</w:t>
      </w:r>
      <w:r w:rsidR="00BB7EC4" w:rsidRPr="00BB7EC4">
        <w:rPr>
          <w:rFonts w:asciiTheme="majorHAnsi" w:hAnsiTheme="majorHAnsi"/>
          <w:sz w:val="22"/>
        </w:rPr>
        <w:t xml:space="preserve"> 7. </w:t>
      </w:r>
      <w:r w:rsidR="00BB7EC4">
        <w:rPr>
          <w:rFonts w:asciiTheme="majorHAnsi" w:hAnsiTheme="majorHAnsi"/>
          <w:sz w:val="22"/>
        </w:rPr>
        <w:t>Manhattan Plot pour la concentration en glucose mesurée à Avignon</w:t>
      </w:r>
      <w:r w:rsidR="00BB7EC4" w:rsidRPr="00BB7EC4">
        <w:rPr>
          <w:rFonts w:asciiTheme="majorHAnsi" w:hAnsiTheme="majorHAnsi"/>
          <w:sz w:val="22"/>
        </w:rPr>
        <w:t xml:space="preserve"> </w:t>
      </w:r>
      <w:r w:rsidRPr="00BB7EC4">
        <w:rPr>
          <w:rFonts w:asciiTheme="majorHAnsi" w:hAnsiTheme="majorHAnsi"/>
          <w:sz w:val="22"/>
        </w:rPr>
        <w:t xml:space="preserve"> </w:t>
      </w:r>
    </w:p>
    <w:p w14:paraId="31586F86" w14:textId="77777777" w:rsidR="006652DF" w:rsidRDefault="006652DF">
      <w:pPr>
        <w:pStyle w:val="Corpsdetexte"/>
        <w:spacing w:after="200"/>
        <w:ind w:right="140"/>
        <w:jc w:val="both"/>
        <w:rPr>
          <w:rFonts w:asciiTheme="majorHAnsi" w:hAnsiTheme="majorHAnsi"/>
          <w:b/>
          <w:color w:val="1F497D" w:themeColor="text2"/>
          <w:sz w:val="22"/>
          <w:bdr w:val="single" w:sz="4" w:space="0" w:color="auto"/>
        </w:rPr>
      </w:pPr>
    </w:p>
    <w:p w14:paraId="28BB29B1" w14:textId="77777777" w:rsidR="00BB7EC4" w:rsidRDefault="00BB7EC4">
      <w:pPr>
        <w:pStyle w:val="Corpsdetexte"/>
        <w:spacing w:after="200"/>
        <w:ind w:right="140"/>
        <w:jc w:val="both"/>
        <w:rPr>
          <w:rFonts w:asciiTheme="majorHAnsi" w:hAnsiTheme="majorHAnsi"/>
          <w:b/>
          <w:color w:val="1F497D" w:themeColor="text2"/>
          <w:sz w:val="22"/>
          <w:bdr w:val="single" w:sz="4" w:space="0" w:color="auto"/>
        </w:rPr>
      </w:pPr>
    </w:p>
    <w:p w14:paraId="2F3B461D" w14:textId="77777777" w:rsidR="00BB7EC4" w:rsidRDefault="00BB7EC4">
      <w:pPr>
        <w:pStyle w:val="Corpsdetexte"/>
        <w:spacing w:after="200"/>
        <w:ind w:right="140"/>
        <w:jc w:val="both"/>
        <w:rPr>
          <w:rFonts w:asciiTheme="majorHAnsi" w:hAnsiTheme="majorHAnsi"/>
          <w:b/>
          <w:color w:val="1F497D" w:themeColor="text2"/>
          <w:sz w:val="22"/>
          <w:bdr w:val="single" w:sz="4" w:space="0" w:color="auto"/>
        </w:rPr>
      </w:pPr>
    </w:p>
    <w:p w14:paraId="0FFDA612" w14:textId="77777777" w:rsidR="00BB7EC4" w:rsidRDefault="00BB7EC4">
      <w:pPr>
        <w:pStyle w:val="Corpsdetexte"/>
        <w:spacing w:after="200"/>
        <w:ind w:right="140"/>
        <w:jc w:val="both"/>
        <w:rPr>
          <w:rFonts w:asciiTheme="majorHAnsi" w:hAnsiTheme="majorHAnsi"/>
          <w:b/>
          <w:color w:val="1F497D" w:themeColor="text2"/>
          <w:sz w:val="22"/>
          <w:bdr w:val="single" w:sz="4" w:space="0" w:color="auto"/>
        </w:rPr>
      </w:pPr>
    </w:p>
    <w:p w14:paraId="10D8CAB9" w14:textId="77777777" w:rsidR="006D0668" w:rsidRDefault="00BF110B">
      <w:pPr>
        <w:pStyle w:val="Corpsdetexte"/>
        <w:spacing w:after="200"/>
        <w:ind w:right="140"/>
        <w:jc w:val="both"/>
        <w:rPr>
          <w:rFonts w:asciiTheme="majorHAnsi" w:hAnsiTheme="majorHAnsi"/>
          <w:sz w:val="22"/>
        </w:rPr>
      </w:pPr>
      <w:r w:rsidRPr="00B32AF9">
        <w:rPr>
          <w:rFonts w:asciiTheme="majorHAnsi" w:hAnsiTheme="majorHAnsi"/>
          <w:b/>
          <w:color w:val="1F497D" w:themeColor="text2"/>
          <w:sz w:val="22"/>
          <w:bdr w:val="single" w:sz="4" w:space="0" w:color="auto"/>
        </w:rPr>
        <w:t>A3. Modélisation de la croissance et de la qualité du fruit en conditions de contrainte hydrique et en</w:t>
      </w:r>
      <w:r w:rsidRPr="00156D1C">
        <w:rPr>
          <w:rFonts w:asciiTheme="majorHAnsi" w:hAnsiTheme="majorHAnsi"/>
          <w:b/>
          <w:sz w:val="22"/>
        </w:rPr>
        <w:t xml:space="preserve"> </w:t>
      </w:r>
      <w:r w:rsidR="003C1183" w:rsidRPr="003C1183">
        <w:rPr>
          <w:rFonts w:asciiTheme="majorHAnsi" w:hAnsiTheme="majorHAnsi"/>
          <w:sz w:val="22"/>
        </w:rPr>
        <w:t>Dans</w:t>
      </w:r>
      <w:r w:rsidR="003C1183">
        <w:rPr>
          <w:rFonts w:asciiTheme="majorHAnsi" w:hAnsiTheme="majorHAnsi"/>
          <w:b/>
          <w:sz w:val="22"/>
        </w:rPr>
        <w:t xml:space="preserve"> </w:t>
      </w:r>
      <w:r w:rsidR="003C1183" w:rsidRPr="003C1183">
        <w:rPr>
          <w:rFonts w:asciiTheme="majorHAnsi" w:hAnsiTheme="majorHAnsi"/>
          <w:sz w:val="22"/>
        </w:rPr>
        <w:t>l</w:t>
      </w:r>
      <w:r w:rsidR="00E61646" w:rsidRPr="003C1183">
        <w:rPr>
          <w:rFonts w:asciiTheme="majorHAnsi" w:hAnsiTheme="majorHAnsi"/>
          <w:sz w:val="22"/>
        </w:rPr>
        <w:t>’</w:t>
      </w:r>
      <w:r w:rsidR="00E61646" w:rsidRPr="00156D1C">
        <w:rPr>
          <w:rFonts w:asciiTheme="majorHAnsi" w:hAnsiTheme="majorHAnsi"/>
          <w:sz w:val="22"/>
        </w:rPr>
        <w:t>action 3</w:t>
      </w:r>
      <w:r w:rsidR="003C1183">
        <w:rPr>
          <w:rFonts w:asciiTheme="majorHAnsi" w:hAnsiTheme="majorHAnsi"/>
          <w:sz w:val="22"/>
        </w:rPr>
        <w:t>, nous avons</w:t>
      </w:r>
      <w:r w:rsidR="00E61646" w:rsidRPr="00156D1C">
        <w:rPr>
          <w:rFonts w:asciiTheme="majorHAnsi" w:hAnsiTheme="majorHAnsi"/>
          <w:sz w:val="22"/>
        </w:rPr>
        <w:t xml:space="preserve"> implément</w:t>
      </w:r>
      <w:r w:rsidR="003C1183">
        <w:rPr>
          <w:rFonts w:asciiTheme="majorHAnsi" w:hAnsiTheme="majorHAnsi"/>
          <w:sz w:val="22"/>
        </w:rPr>
        <w:t>é</w:t>
      </w:r>
      <w:r w:rsidR="00E61646" w:rsidRPr="00156D1C">
        <w:rPr>
          <w:rFonts w:asciiTheme="majorHAnsi" w:hAnsiTheme="majorHAnsi"/>
          <w:sz w:val="22"/>
        </w:rPr>
        <w:t xml:space="preserve"> les modèles existants et utilis</w:t>
      </w:r>
      <w:r w:rsidR="003C1183">
        <w:rPr>
          <w:rFonts w:asciiTheme="majorHAnsi" w:hAnsiTheme="majorHAnsi"/>
          <w:sz w:val="22"/>
        </w:rPr>
        <w:t>é</w:t>
      </w:r>
      <w:r w:rsidR="00E61646" w:rsidRPr="00156D1C">
        <w:rPr>
          <w:rFonts w:asciiTheme="majorHAnsi" w:hAnsiTheme="majorHAnsi"/>
          <w:sz w:val="22"/>
        </w:rPr>
        <w:t xml:space="preserve"> ces modèles de manière couplée pour prédire le comportement de</w:t>
      </w:r>
      <w:r w:rsidR="003C1183">
        <w:rPr>
          <w:rFonts w:asciiTheme="majorHAnsi" w:hAnsiTheme="majorHAnsi"/>
          <w:sz w:val="22"/>
        </w:rPr>
        <w:t>s</w:t>
      </w:r>
      <w:r w:rsidR="00E61646" w:rsidRPr="00156D1C">
        <w:rPr>
          <w:rFonts w:asciiTheme="majorHAnsi" w:hAnsiTheme="majorHAnsi"/>
          <w:sz w:val="22"/>
        </w:rPr>
        <w:t xml:space="preserve"> différents génotypes (variabilité des paramètres génétiques des modèles) dans des conditions variables de stress hydrique (différents scénarios). </w:t>
      </w:r>
      <w:r w:rsidR="00E61646" w:rsidRPr="00E61646">
        <w:rPr>
          <w:rFonts w:asciiTheme="majorHAnsi" w:hAnsiTheme="majorHAnsi"/>
          <w:sz w:val="22"/>
        </w:rPr>
        <w:t xml:space="preserve"> Dans une première étape nous avons travaillé avec le modèle fruit Virtuel qui prédit les flux d’eau et de carbone dans le pédicelle et le fruit à partir d’un état physiologique de la plante caractérisé par le potentiel hydrique de tige, la concentration en carbone de la sève et un certain nombre de paramètres dont</w:t>
      </w:r>
      <w:r w:rsidR="00BB7EC4">
        <w:rPr>
          <w:rFonts w:asciiTheme="majorHAnsi" w:hAnsiTheme="majorHAnsi"/>
          <w:sz w:val="22"/>
        </w:rPr>
        <w:t xml:space="preserve"> la conductance des fruits (Fig 8</w:t>
      </w:r>
      <w:r w:rsidR="00E61646" w:rsidRPr="00E61646">
        <w:rPr>
          <w:rFonts w:asciiTheme="majorHAnsi" w:hAnsiTheme="majorHAnsi"/>
          <w:sz w:val="22"/>
        </w:rPr>
        <w:t xml:space="preserve">). </w:t>
      </w:r>
    </w:p>
    <w:p w14:paraId="67E5C7F0" w14:textId="77777777" w:rsidR="006D0668" w:rsidRDefault="006D0668">
      <w:pPr>
        <w:pStyle w:val="Corpsdetexte"/>
        <w:spacing w:after="200"/>
        <w:ind w:right="140"/>
        <w:jc w:val="both"/>
        <w:rPr>
          <w:rFonts w:asciiTheme="majorHAnsi" w:hAnsiTheme="majorHAnsi"/>
          <w:sz w:val="22"/>
        </w:rPr>
      </w:pPr>
      <w:r>
        <w:rPr>
          <w:noProof/>
          <w:lang w:eastAsia="fr-FR" w:bidi="ar-SA"/>
        </w:rPr>
        <w:drawing>
          <wp:inline distT="0" distB="0" distL="0" distR="0" wp14:anchorId="5183626A" wp14:editId="38635825">
            <wp:extent cx="3467739" cy="2886226"/>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576" cy="2886090"/>
                    </a:xfrm>
                    <a:prstGeom prst="rect">
                      <a:avLst/>
                    </a:prstGeom>
                    <a:noFill/>
                    <a:ln>
                      <a:noFill/>
                    </a:ln>
                  </pic:spPr>
                </pic:pic>
              </a:graphicData>
            </a:graphic>
          </wp:inline>
        </w:drawing>
      </w:r>
    </w:p>
    <w:p w14:paraId="75342CE2" w14:textId="77777777" w:rsidR="006D0668" w:rsidRPr="00352758" w:rsidRDefault="00BB7EC4" w:rsidP="006D0668">
      <w:pPr>
        <w:suppressLineNumbers/>
        <w:spacing w:line="360" w:lineRule="auto"/>
        <w:rPr>
          <w:rFonts w:asciiTheme="majorHAnsi" w:hAnsiTheme="majorHAnsi"/>
          <w:sz w:val="22"/>
          <w:szCs w:val="22"/>
        </w:rPr>
      </w:pPr>
      <w:r>
        <w:rPr>
          <w:rFonts w:asciiTheme="majorHAnsi" w:hAnsiTheme="majorHAnsi"/>
          <w:sz w:val="22"/>
          <w:szCs w:val="22"/>
        </w:rPr>
        <w:t>Figure 8.</w:t>
      </w:r>
      <w:r w:rsidR="006D0668" w:rsidRPr="00352758">
        <w:rPr>
          <w:rFonts w:asciiTheme="majorHAnsi" w:hAnsiTheme="majorHAnsi"/>
          <w:sz w:val="22"/>
          <w:szCs w:val="22"/>
        </w:rPr>
        <w:t xml:space="preserve"> Fl</w:t>
      </w:r>
      <w:r w:rsidR="00352758" w:rsidRPr="00352758">
        <w:rPr>
          <w:rFonts w:asciiTheme="majorHAnsi" w:hAnsiTheme="majorHAnsi"/>
          <w:sz w:val="22"/>
          <w:szCs w:val="22"/>
        </w:rPr>
        <w:t>ux d’eau et de matière sèche dans le modèle tomate</w:t>
      </w:r>
      <w:r w:rsidR="006D0668" w:rsidRPr="00352758">
        <w:rPr>
          <w:rFonts w:asciiTheme="majorHAnsi" w:hAnsiTheme="majorHAnsi"/>
          <w:sz w:val="22"/>
          <w:szCs w:val="22"/>
        </w:rPr>
        <w:t xml:space="preserve">. </w:t>
      </w:r>
      <w:r w:rsidR="00352758" w:rsidRPr="00352758">
        <w:rPr>
          <w:rFonts w:asciiTheme="majorHAnsi" w:hAnsiTheme="majorHAnsi"/>
          <w:sz w:val="22"/>
          <w:szCs w:val="22"/>
        </w:rPr>
        <w:t>Les flèches noires indiquent des flux d’eau, les flèches grises indiquent des flux de sucres ou de matière sèche</w:t>
      </w:r>
      <w:r w:rsidR="006D0668" w:rsidRPr="00352758">
        <w:rPr>
          <w:rFonts w:asciiTheme="majorHAnsi" w:hAnsiTheme="majorHAnsi"/>
          <w:sz w:val="22"/>
          <w:szCs w:val="22"/>
        </w:rPr>
        <w:t>.</w:t>
      </w:r>
    </w:p>
    <w:p w14:paraId="6DAACD1D" w14:textId="77777777" w:rsidR="006D0668" w:rsidRPr="00352758" w:rsidRDefault="006D0668">
      <w:pPr>
        <w:pStyle w:val="Corpsdetexte"/>
        <w:spacing w:after="200"/>
        <w:ind w:right="140"/>
        <w:jc w:val="both"/>
        <w:rPr>
          <w:rFonts w:asciiTheme="majorHAnsi" w:hAnsiTheme="majorHAnsi"/>
          <w:sz w:val="22"/>
        </w:rPr>
      </w:pPr>
    </w:p>
    <w:p w14:paraId="4C8BCAD8" w14:textId="77777777" w:rsidR="00352758" w:rsidRDefault="00E61646">
      <w:pPr>
        <w:pStyle w:val="Corpsdetexte"/>
        <w:spacing w:after="200"/>
        <w:ind w:right="140"/>
        <w:jc w:val="both"/>
        <w:rPr>
          <w:rFonts w:asciiTheme="majorHAnsi" w:hAnsiTheme="majorHAnsi"/>
          <w:sz w:val="22"/>
        </w:rPr>
      </w:pPr>
      <w:r w:rsidRPr="00E61646">
        <w:rPr>
          <w:rFonts w:asciiTheme="majorHAnsi" w:hAnsiTheme="majorHAnsi"/>
          <w:sz w:val="22"/>
        </w:rPr>
        <w:t xml:space="preserve">Une première analyse de sensibilité du modèle a permis de sélectionner </w:t>
      </w:r>
      <w:r w:rsidR="006940E3">
        <w:rPr>
          <w:rFonts w:asciiTheme="majorHAnsi" w:hAnsiTheme="majorHAnsi"/>
          <w:sz w:val="22"/>
        </w:rPr>
        <w:t>8</w:t>
      </w:r>
      <w:r w:rsidR="006940E3" w:rsidRPr="00E61646">
        <w:rPr>
          <w:rFonts w:asciiTheme="majorHAnsi" w:hAnsiTheme="majorHAnsi"/>
          <w:sz w:val="22"/>
        </w:rPr>
        <w:t xml:space="preserve"> </w:t>
      </w:r>
      <w:r w:rsidRPr="00E61646">
        <w:rPr>
          <w:rFonts w:asciiTheme="majorHAnsi" w:hAnsiTheme="majorHAnsi"/>
          <w:sz w:val="22"/>
        </w:rPr>
        <w:t xml:space="preserve">paramètres qui ont un poids important sur les variables simulées qui nous intéressent (poids frais, poids sec, teneur en ms). </w:t>
      </w:r>
      <w:r w:rsidR="00BE5CFA">
        <w:rPr>
          <w:rFonts w:asciiTheme="majorHAnsi" w:hAnsiTheme="majorHAnsi"/>
          <w:sz w:val="22"/>
        </w:rPr>
        <w:t>Trois de ces paramètres sont impliqués dans le</w:t>
      </w:r>
      <w:r w:rsidR="006940E3">
        <w:rPr>
          <w:rFonts w:asciiTheme="majorHAnsi" w:hAnsiTheme="majorHAnsi"/>
          <w:sz w:val="22"/>
        </w:rPr>
        <w:t xml:space="preserve"> transport de l’eau</w:t>
      </w:r>
      <w:r w:rsidR="00BE5CFA">
        <w:rPr>
          <w:rFonts w:asciiTheme="majorHAnsi" w:hAnsiTheme="majorHAnsi"/>
          <w:sz w:val="22"/>
        </w:rPr>
        <w:t>, 4 autres paramètres sont impliqué</w:t>
      </w:r>
      <w:r w:rsidR="00BB7EC4">
        <w:rPr>
          <w:rFonts w:asciiTheme="majorHAnsi" w:hAnsiTheme="majorHAnsi"/>
          <w:sz w:val="22"/>
        </w:rPr>
        <w:t>s</w:t>
      </w:r>
      <w:r w:rsidR="00BE5CFA">
        <w:rPr>
          <w:rFonts w:asciiTheme="majorHAnsi" w:hAnsiTheme="majorHAnsi"/>
          <w:sz w:val="22"/>
        </w:rPr>
        <w:t xml:space="preserve"> dans le transport</w:t>
      </w:r>
      <w:r w:rsidR="006940E3">
        <w:rPr>
          <w:rFonts w:asciiTheme="majorHAnsi" w:hAnsiTheme="majorHAnsi"/>
          <w:sz w:val="22"/>
        </w:rPr>
        <w:t xml:space="preserve"> du</w:t>
      </w:r>
      <w:r w:rsidR="00135011">
        <w:rPr>
          <w:rFonts w:asciiTheme="majorHAnsi" w:hAnsiTheme="majorHAnsi"/>
          <w:sz w:val="22"/>
        </w:rPr>
        <w:t xml:space="preserve"> </w:t>
      </w:r>
      <w:r w:rsidR="006940E3">
        <w:rPr>
          <w:rFonts w:asciiTheme="majorHAnsi" w:hAnsiTheme="majorHAnsi"/>
          <w:sz w:val="22"/>
        </w:rPr>
        <w:t>carbone</w:t>
      </w:r>
      <w:r w:rsidR="00BE5CFA">
        <w:rPr>
          <w:rFonts w:asciiTheme="majorHAnsi" w:hAnsiTheme="majorHAnsi"/>
          <w:sz w:val="22"/>
        </w:rPr>
        <w:t>, et le huitième paramètre est lié à l’extensibilité de</w:t>
      </w:r>
      <w:r w:rsidR="006940E3">
        <w:rPr>
          <w:rFonts w:asciiTheme="majorHAnsi" w:hAnsiTheme="majorHAnsi"/>
          <w:sz w:val="22"/>
        </w:rPr>
        <w:t xml:space="preserve"> la paroi cellulaire</w:t>
      </w:r>
      <w:r w:rsidR="00BE5CFA">
        <w:rPr>
          <w:rFonts w:asciiTheme="majorHAnsi" w:hAnsiTheme="majorHAnsi"/>
          <w:sz w:val="22"/>
        </w:rPr>
        <w:t>.</w:t>
      </w:r>
      <w:r w:rsidR="00135011">
        <w:rPr>
          <w:rFonts w:asciiTheme="majorHAnsi" w:hAnsiTheme="majorHAnsi"/>
          <w:sz w:val="22"/>
        </w:rPr>
        <w:t xml:space="preserve"> </w:t>
      </w:r>
      <w:r w:rsidR="00765620">
        <w:rPr>
          <w:rFonts w:asciiTheme="majorHAnsi" w:hAnsiTheme="majorHAnsi"/>
          <w:sz w:val="22"/>
        </w:rPr>
        <w:t>Ces</w:t>
      </w:r>
      <w:r w:rsidR="00765620" w:rsidRPr="00E61646">
        <w:rPr>
          <w:rFonts w:asciiTheme="majorHAnsi" w:hAnsiTheme="majorHAnsi"/>
          <w:sz w:val="22"/>
        </w:rPr>
        <w:t xml:space="preserve"> </w:t>
      </w:r>
      <w:r w:rsidR="00765620">
        <w:rPr>
          <w:rFonts w:asciiTheme="majorHAnsi" w:hAnsiTheme="majorHAnsi"/>
          <w:sz w:val="22"/>
        </w:rPr>
        <w:t>8</w:t>
      </w:r>
      <w:r w:rsidR="00765620" w:rsidRPr="00E61646">
        <w:rPr>
          <w:rFonts w:asciiTheme="majorHAnsi" w:hAnsiTheme="majorHAnsi"/>
          <w:sz w:val="22"/>
        </w:rPr>
        <w:t xml:space="preserve"> paramètres </w:t>
      </w:r>
      <w:r w:rsidRPr="00E61646">
        <w:rPr>
          <w:rFonts w:asciiTheme="majorHAnsi" w:hAnsiTheme="majorHAnsi"/>
          <w:sz w:val="22"/>
        </w:rPr>
        <w:t xml:space="preserve">ont été estimés </w:t>
      </w:r>
      <w:r w:rsidR="00BE5CFA">
        <w:rPr>
          <w:rFonts w:asciiTheme="majorHAnsi" w:hAnsiTheme="majorHAnsi"/>
          <w:sz w:val="22"/>
        </w:rPr>
        <w:t xml:space="preserve">par optimisation </w:t>
      </w:r>
      <w:r>
        <w:rPr>
          <w:rFonts w:asciiTheme="majorHAnsi" w:hAnsiTheme="majorHAnsi"/>
          <w:sz w:val="22"/>
        </w:rPr>
        <w:t xml:space="preserve">sur la population </w:t>
      </w:r>
      <w:r w:rsidRPr="00E61646">
        <w:rPr>
          <w:rFonts w:asciiTheme="majorHAnsi" w:hAnsiTheme="majorHAnsi"/>
          <w:sz w:val="22"/>
        </w:rPr>
        <w:t xml:space="preserve">à partir des mesures réalisées dans l’action A1. </w:t>
      </w:r>
      <w:r>
        <w:rPr>
          <w:rFonts w:asciiTheme="majorHAnsi" w:hAnsiTheme="majorHAnsi"/>
          <w:sz w:val="22"/>
        </w:rPr>
        <w:t>C</w:t>
      </w:r>
      <w:r w:rsidRPr="00E61646">
        <w:rPr>
          <w:rFonts w:asciiTheme="majorHAnsi" w:hAnsiTheme="majorHAnsi"/>
          <w:sz w:val="22"/>
        </w:rPr>
        <w:t xml:space="preserve">ette première </w:t>
      </w:r>
      <w:r>
        <w:rPr>
          <w:rFonts w:asciiTheme="majorHAnsi" w:hAnsiTheme="majorHAnsi"/>
          <w:sz w:val="22"/>
        </w:rPr>
        <w:t>étape</w:t>
      </w:r>
      <w:r w:rsidRPr="00E61646">
        <w:rPr>
          <w:rFonts w:asciiTheme="majorHAnsi" w:hAnsiTheme="majorHAnsi"/>
          <w:sz w:val="22"/>
        </w:rPr>
        <w:t xml:space="preserve"> a révélé un certain nombre de comportements inattendus à savoir des efflux d’eau importants du fruit vers la plante en conditions de stress. Ces efflux sont compatibles avec le flétrissement de certains fruits observé en serre pendant l’expérimentation. De plus, au sein de la population observée, les effets du stress sur la croissance en matière fraiche et en matière sèche du fruit étaient très variables et parfois contraires entre génotypes (fig </w:t>
      </w:r>
      <w:r w:rsidR="00BB7EC4">
        <w:rPr>
          <w:rFonts w:asciiTheme="majorHAnsi" w:hAnsiTheme="majorHAnsi"/>
          <w:sz w:val="22"/>
        </w:rPr>
        <w:t>9</w:t>
      </w:r>
      <w:r w:rsidRPr="00E61646">
        <w:rPr>
          <w:rFonts w:asciiTheme="majorHAnsi" w:hAnsiTheme="majorHAnsi"/>
          <w:sz w:val="22"/>
        </w:rPr>
        <w:t>). Ces réponses nous ont amené à questionner</w:t>
      </w:r>
      <w:r>
        <w:rPr>
          <w:rFonts w:asciiTheme="majorHAnsi" w:hAnsiTheme="majorHAnsi"/>
          <w:sz w:val="22"/>
        </w:rPr>
        <w:t>/modifier</w:t>
      </w:r>
      <w:r w:rsidRPr="00E61646">
        <w:rPr>
          <w:rFonts w:asciiTheme="majorHAnsi" w:hAnsiTheme="majorHAnsi"/>
          <w:sz w:val="22"/>
        </w:rPr>
        <w:t xml:space="preserve"> certaines hypothèses du modèle en ce qui concerne le fonctionnement du fruit en conditions de stress hydrique. De ce fait la partie modélisation a été plus longue que prévue. L</w:t>
      </w:r>
      <w:r w:rsidR="006940E3">
        <w:rPr>
          <w:rFonts w:asciiTheme="majorHAnsi" w:hAnsiTheme="majorHAnsi"/>
          <w:sz w:val="22"/>
        </w:rPr>
        <w:t>a qualité des ajustements est illustrée</w:t>
      </w:r>
      <w:r w:rsidRPr="00E61646">
        <w:rPr>
          <w:rFonts w:asciiTheme="majorHAnsi" w:hAnsiTheme="majorHAnsi"/>
          <w:sz w:val="22"/>
        </w:rPr>
        <w:t xml:space="preserve"> fig</w:t>
      </w:r>
      <w:r w:rsidR="00BB7EC4">
        <w:rPr>
          <w:rFonts w:asciiTheme="majorHAnsi" w:hAnsiTheme="majorHAnsi"/>
          <w:sz w:val="22"/>
        </w:rPr>
        <w:t xml:space="preserve"> 10</w:t>
      </w:r>
      <w:r w:rsidR="006940E3">
        <w:rPr>
          <w:rFonts w:asciiTheme="majorHAnsi" w:hAnsiTheme="majorHAnsi"/>
          <w:sz w:val="22"/>
        </w:rPr>
        <w:t xml:space="preserve"> pour les deux parents Cervil et Levovil.</w:t>
      </w:r>
      <w:r w:rsidR="00BB7EC4">
        <w:rPr>
          <w:rFonts w:asciiTheme="majorHAnsi" w:hAnsiTheme="majorHAnsi"/>
          <w:sz w:val="22"/>
        </w:rPr>
        <w:t xml:space="preserve"> La fig. 11</w:t>
      </w:r>
      <w:r w:rsidR="00352758">
        <w:rPr>
          <w:rFonts w:asciiTheme="majorHAnsi" w:hAnsiTheme="majorHAnsi"/>
          <w:sz w:val="22"/>
        </w:rPr>
        <w:t xml:space="preserve"> montre la variabilité des 8 paramètres au sein de la population.</w:t>
      </w:r>
    </w:p>
    <w:p w14:paraId="29F19D4E" w14:textId="77777777" w:rsidR="00765620" w:rsidRDefault="00765620" w:rsidP="00765620">
      <w:pPr>
        <w:rPr>
          <w:rFonts w:asciiTheme="minorHAnsi" w:eastAsiaTheme="minorHAnsi" w:hAnsiTheme="minorHAnsi" w:cstheme="minorBidi"/>
          <w:sz w:val="22"/>
          <w:szCs w:val="22"/>
          <w:lang w:val="en-GB" w:eastAsia="en-US"/>
        </w:rPr>
      </w:pPr>
    </w:p>
    <w:p w14:paraId="352C9533" w14:textId="77777777" w:rsidR="00765620" w:rsidRPr="00BE5CFA" w:rsidRDefault="00765620">
      <w:pPr>
        <w:pStyle w:val="Corpsdetexte"/>
        <w:spacing w:after="200"/>
        <w:ind w:right="140"/>
        <w:jc w:val="both"/>
        <w:rPr>
          <w:rFonts w:asciiTheme="majorHAnsi" w:hAnsiTheme="majorHAnsi"/>
          <w:sz w:val="22"/>
          <w:lang w:val="en-GB"/>
        </w:rPr>
      </w:pPr>
    </w:p>
    <w:p w14:paraId="0A649388" w14:textId="77777777" w:rsidR="00402C8D" w:rsidRDefault="006940E3">
      <w:pPr>
        <w:pStyle w:val="Corpsdetexte"/>
        <w:spacing w:after="200"/>
        <w:ind w:right="140"/>
        <w:jc w:val="both"/>
        <w:rPr>
          <w:rFonts w:asciiTheme="majorHAnsi" w:hAnsiTheme="majorHAnsi"/>
          <w:sz w:val="22"/>
        </w:rPr>
      </w:pPr>
      <w:r>
        <w:rPr>
          <w:rFonts w:asciiTheme="majorHAnsi" w:hAnsiTheme="majorHAnsi"/>
          <w:noProof/>
          <w:sz w:val="22"/>
          <w:lang w:eastAsia="fr-FR" w:bidi="ar-SA"/>
        </w:rPr>
        <w:lastRenderedPageBreak/>
        <w:drawing>
          <wp:inline distT="0" distB="0" distL="0" distR="0" wp14:anchorId="563962E6" wp14:editId="7293FB20">
            <wp:extent cx="5871052" cy="299614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255" cy="2997784"/>
                    </a:xfrm>
                    <a:prstGeom prst="rect">
                      <a:avLst/>
                    </a:prstGeom>
                    <a:noFill/>
                  </pic:spPr>
                </pic:pic>
              </a:graphicData>
            </a:graphic>
          </wp:inline>
        </w:drawing>
      </w:r>
    </w:p>
    <w:p w14:paraId="4F7C7F41" w14:textId="77777777" w:rsidR="00761CB3" w:rsidRPr="00352758" w:rsidRDefault="00BB7EC4" w:rsidP="00352758">
      <w:pPr>
        <w:pStyle w:val="Corpsdetexte"/>
        <w:spacing w:after="200"/>
        <w:ind w:right="140"/>
        <w:jc w:val="both"/>
        <w:rPr>
          <w:rFonts w:asciiTheme="majorHAnsi" w:hAnsiTheme="majorHAnsi"/>
          <w:noProof/>
          <w:sz w:val="22"/>
          <w:szCs w:val="22"/>
          <w:lang w:eastAsia="en-NZ"/>
        </w:rPr>
      </w:pPr>
      <w:r>
        <w:rPr>
          <w:rFonts w:asciiTheme="majorHAnsi" w:hAnsiTheme="majorHAnsi"/>
          <w:noProof/>
          <w:sz w:val="22"/>
          <w:szCs w:val="22"/>
          <w:lang w:eastAsia="en-NZ"/>
        </w:rPr>
        <w:t>Fig 9</w:t>
      </w:r>
      <w:r w:rsidR="006940E3" w:rsidRPr="00352758">
        <w:rPr>
          <w:rFonts w:asciiTheme="majorHAnsi" w:hAnsiTheme="majorHAnsi"/>
          <w:noProof/>
          <w:sz w:val="22"/>
          <w:szCs w:val="22"/>
          <w:lang w:eastAsia="en-NZ"/>
        </w:rPr>
        <w:t> :</w:t>
      </w:r>
      <w:r>
        <w:rPr>
          <w:rFonts w:asciiTheme="majorHAnsi" w:hAnsiTheme="majorHAnsi"/>
          <w:noProof/>
          <w:sz w:val="22"/>
          <w:szCs w:val="22"/>
          <w:lang w:eastAsia="en-NZ"/>
        </w:rPr>
        <w:t xml:space="preserve"> </w:t>
      </w:r>
      <w:r w:rsidR="006940E3" w:rsidRPr="00352758">
        <w:rPr>
          <w:rFonts w:asciiTheme="majorHAnsi" w:hAnsiTheme="majorHAnsi"/>
          <w:noProof/>
          <w:sz w:val="22"/>
          <w:szCs w:val="22"/>
          <w:lang w:eastAsia="en-NZ"/>
        </w:rPr>
        <w:t>Cinétiques de croissance en masse fraiche et sèche osbervées en condition témoin (bleu) et stress (rouge) pour 8 génotypes représentatifs de la population étudiée</w:t>
      </w:r>
    </w:p>
    <w:p w14:paraId="762AB8F3" w14:textId="77777777" w:rsidR="00761CB3" w:rsidRDefault="00761CB3">
      <w:pPr>
        <w:pStyle w:val="Corpsdetexte"/>
        <w:spacing w:after="200"/>
        <w:ind w:right="140"/>
        <w:jc w:val="both"/>
        <w:rPr>
          <w:rFonts w:asciiTheme="majorHAnsi" w:hAnsiTheme="majorHAnsi"/>
          <w:sz w:val="22"/>
        </w:rPr>
      </w:pPr>
    </w:p>
    <w:p w14:paraId="60064866" w14:textId="77777777" w:rsidR="006940E3" w:rsidRDefault="006940E3">
      <w:pPr>
        <w:pStyle w:val="Corpsdetexte"/>
        <w:spacing w:after="200"/>
        <w:ind w:right="140"/>
        <w:jc w:val="both"/>
        <w:rPr>
          <w:rFonts w:asciiTheme="majorHAnsi" w:hAnsiTheme="majorHAnsi"/>
          <w:sz w:val="22"/>
        </w:rPr>
        <w:sectPr w:rsidR="006940E3">
          <w:pgSz w:w="11906" w:h="16838"/>
          <w:pgMar w:top="1134" w:right="1134" w:bottom="1134" w:left="1134" w:header="720" w:footer="720" w:gutter="0"/>
          <w:cols w:space="720"/>
        </w:sectPr>
      </w:pPr>
    </w:p>
    <w:p w14:paraId="6C145049" w14:textId="77777777" w:rsidR="006940E3" w:rsidRPr="00352758" w:rsidRDefault="006940E3">
      <w:pPr>
        <w:pStyle w:val="Corpsdetexte"/>
        <w:spacing w:after="200"/>
        <w:ind w:right="140"/>
        <w:jc w:val="both"/>
        <w:rPr>
          <w:rFonts w:asciiTheme="majorHAnsi" w:hAnsiTheme="majorHAnsi"/>
          <w:sz w:val="22"/>
        </w:rPr>
      </w:pPr>
      <w:r>
        <w:rPr>
          <w:noProof/>
          <w:lang w:eastAsia="fr-FR" w:bidi="ar-SA"/>
        </w:rPr>
        <w:lastRenderedPageBreak/>
        <w:drawing>
          <wp:inline distT="0" distB="0" distL="0" distR="0" wp14:anchorId="3215F835" wp14:editId="0FDFCD38">
            <wp:extent cx="3045349" cy="3045349"/>
            <wp:effectExtent l="0" t="0" r="317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_SIMvsObs_Cervil.jpg"/>
                    <pic:cNvPicPr/>
                  </pic:nvPicPr>
                  <pic:blipFill>
                    <a:blip r:embed="rId18">
                      <a:extLst>
                        <a:ext uri="{28A0092B-C50C-407E-A947-70E740481C1C}">
                          <a14:useLocalDpi xmlns:a14="http://schemas.microsoft.com/office/drawing/2010/main" val="0"/>
                        </a:ext>
                      </a:extLst>
                    </a:blip>
                    <a:stretch>
                      <a:fillRect/>
                    </a:stretch>
                  </pic:blipFill>
                  <pic:spPr>
                    <a:xfrm>
                      <a:off x="0" y="0"/>
                      <a:ext cx="3045355" cy="3045355"/>
                    </a:xfrm>
                    <a:prstGeom prst="rect">
                      <a:avLst/>
                    </a:prstGeom>
                  </pic:spPr>
                </pic:pic>
              </a:graphicData>
            </a:graphic>
          </wp:inline>
        </w:drawing>
      </w:r>
    </w:p>
    <w:p w14:paraId="6258FB8D" w14:textId="77777777" w:rsidR="006940E3" w:rsidRDefault="006940E3">
      <w:pPr>
        <w:pStyle w:val="Corpsdetexte"/>
        <w:spacing w:after="200"/>
        <w:ind w:right="140"/>
        <w:jc w:val="both"/>
        <w:rPr>
          <w:rFonts w:asciiTheme="majorHAnsi" w:hAnsiTheme="majorHAnsi"/>
          <w:sz w:val="22"/>
        </w:rPr>
      </w:pPr>
      <w:r>
        <w:rPr>
          <w:noProof/>
          <w:lang w:eastAsia="fr-FR" w:bidi="ar-SA"/>
        </w:rPr>
        <w:lastRenderedPageBreak/>
        <w:drawing>
          <wp:inline distT="0" distB="0" distL="0" distR="0" wp14:anchorId="17D08728" wp14:editId="35DDCAA5">
            <wp:extent cx="2902227" cy="290222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_SIMvsObs_Levovil.jpg"/>
                    <pic:cNvPicPr/>
                  </pic:nvPicPr>
                  <pic:blipFill>
                    <a:blip r:embed="rId19">
                      <a:extLst>
                        <a:ext uri="{28A0092B-C50C-407E-A947-70E740481C1C}">
                          <a14:useLocalDpi xmlns:a14="http://schemas.microsoft.com/office/drawing/2010/main" val="0"/>
                        </a:ext>
                      </a:extLst>
                    </a:blip>
                    <a:stretch>
                      <a:fillRect/>
                    </a:stretch>
                  </pic:blipFill>
                  <pic:spPr>
                    <a:xfrm>
                      <a:off x="0" y="0"/>
                      <a:ext cx="2902232" cy="2902232"/>
                    </a:xfrm>
                    <a:prstGeom prst="rect">
                      <a:avLst/>
                    </a:prstGeom>
                  </pic:spPr>
                </pic:pic>
              </a:graphicData>
            </a:graphic>
          </wp:inline>
        </w:drawing>
      </w:r>
    </w:p>
    <w:p w14:paraId="0AB733F5" w14:textId="77777777" w:rsidR="006940E3" w:rsidRDefault="006940E3">
      <w:pPr>
        <w:pStyle w:val="Corpsdetexte"/>
        <w:spacing w:after="200"/>
        <w:ind w:right="140"/>
        <w:jc w:val="both"/>
        <w:rPr>
          <w:rFonts w:asciiTheme="majorHAnsi" w:hAnsiTheme="majorHAnsi"/>
          <w:sz w:val="22"/>
        </w:rPr>
        <w:sectPr w:rsidR="006940E3" w:rsidSect="00352758">
          <w:type w:val="continuous"/>
          <w:pgSz w:w="11906" w:h="16838"/>
          <w:pgMar w:top="1134" w:right="1134" w:bottom="1134" w:left="1134" w:header="720" w:footer="720" w:gutter="0"/>
          <w:cols w:num="2" w:space="720"/>
        </w:sectPr>
      </w:pPr>
    </w:p>
    <w:p w14:paraId="3150E86A" w14:textId="77777777" w:rsidR="006940E3" w:rsidRDefault="006940E3">
      <w:pPr>
        <w:pStyle w:val="Corpsdetexte"/>
        <w:spacing w:after="200"/>
        <w:ind w:right="140"/>
        <w:jc w:val="both"/>
        <w:rPr>
          <w:rFonts w:asciiTheme="majorHAnsi" w:hAnsiTheme="majorHAnsi"/>
          <w:sz w:val="22"/>
        </w:rPr>
      </w:pPr>
    </w:p>
    <w:p w14:paraId="07F0FD02" w14:textId="77777777" w:rsidR="00706A70" w:rsidRPr="00352758" w:rsidRDefault="00BB7EC4" w:rsidP="00706A70">
      <w:pPr>
        <w:pStyle w:val="Corpsdetexte"/>
        <w:spacing w:after="200"/>
        <w:ind w:right="140"/>
        <w:jc w:val="both"/>
        <w:rPr>
          <w:rFonts w:asciiTheme="majorHAnsi" w:hAnsiTheme="majorHAnsi"/>
          <w:sz w:val="22"/>
        </w:rPr>
      </w:pPr>
      <w:r>
        <w:rPr>
          <w:rFonts w:asciiTheme="majorHAnsi" w:hAnsiTheme="majorHAnsi"/>
          <w:sz w:val="22"/>
        </w:rPr>
        <w:t>Fig 10</w:t>
      </w:r>
      <w:r w:rsidR="00706A70" w:rsidRPr="00352758">
        <w:rPr>
          <w:rFonts w:asciiTheme="majorHAnsi" w:hAnsiTheme="majorHAnsi"/>
          <w:sz w:val="22"/>
        </w:rPr>
        <w:t> :</w:t>
      </w:r>
      <w:r>
        <w:rPr>
          <w:rFonts w:asciiTheme="majorHAnsi" w:hAnsiTheme="majorHAnsi"/>
          <w:sz w:val="22"/>
        </w:rPr>
        <w:t xml:space="preserve"> </w:t>
      </w:r>
      <w:r w:rsidR="00706A70" w:rsidRPr="00352758">
        <w:rPr>
          <w:rFonts w:asciiTheme="majorHAnsi" w:hAnsiTheme="majorHAnsi"/>
          <w:sz w:val="22"/>
        </w:rPr>
        <w:t>Confrontation des simulations (lignes) et des mesures (symboles) pour les parents Cervil et Levovil. RRMSE = Relative Root Mean-Squared Error</w:t>
      </w:r>
      <w:r w:rsidR="00352758" w:rsidRPr="00352758">
        <w:rPr>
          <w:rFonts w:asciiTheme="majorHAnsi" w:hAnsiTheme="majorHAnsi"/>
          <w:sz w:val="22"/>
        </w:rPr>
        <w:t>.</w:t>
      </w:r>
    </w:p>
    <w:p w14:paraId="4326E8AE" w14:textId="77777777" w:rsidR="00352758" w:rsidRDefault="00352758">
      <w:pPr>
        <w:pStyle w:val="Corpsdetexte"/>
        <w:spacing w:after="200"/>
        <w:ind w:right="140"/>
        <w:jc w:val="both"/>
        <w:rPr>
          <w:rFonts w:asciiTheme="majorHAnsi" w:hAnsiTheme="majorHAnsi"/>
          <w:sz w:val="22"/>
        </w:rPr>
      </w:pPr>
    </w:p>
    <w:p w14:paraId="46B92278" w14:textId="77777777" w:rsidR="00352758" w:rsidRDefault="00352758">
      <w:pPr>
        <w:pStyle w:val="Corpsdetexte"/>
        <w:spacing w:after="200"/>
        <w:ind w:right="140"/>
        <w:jc w:val="both"/>
        <w:rPr>
          <w:rFonts w:asciiTheme="majorHAnsi" w:hAnsiTheme="majorHAnsi"/>
          <w:sz w:val="22"/>
        </w:rPr>
      </w:pPr>
      <w:r>
        <w:rPr>
          <w:noProof/>
          <w:lang w:eastAsia="fr-FR" w:bidi="ar-SA"/>
        </w:rPr>
        <w:lastRenderedPageBreak/>
        <w:drawing>
          <wp:inline distT="0" distB="0" distL="0" distR="0" wp14:anchorId="18B3EFDD" wp14:editId="4A05B58B">
            <wp:extent cx="4572009" cy="457200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ParLog.jpg"/>
                    <pic:cNvPicPr/>
                  </pic:nvPicPr>
                  <pic:blipFill>
                    <a:blip r:embed="rId20">
                      <a:extLst>
                        <a:ext uri="{28A0092B-C50C-407E-A947-70E740481C1C}">
                          <a14:useLocalDpi xmlns:a14="http://schemas.microsoft.com/office/drawing/2010/main" val="0"/>
                        </a:ext>
                      </a:extLst>
                    </a:blip>
                    <a:stretch>
                      <a:fillRect/>
                    </a:stretch>
                  </pic:blipFill>
                  <pic:spPr>
                    <a:xfrm>
                      <a:off x="0" y="0"/>
                      <a:ext cx="4572009" cy="4572009"/>
                    </a:xfrm>
                    <a:prstGeom prst="rect">
                      <a:avLst/>
                    </a:prstGeom>
                  </pic:spPr>
                </pic:pic>
              </a:graphicData>
            </a:graphic>
          </wp:inline>
        </w:drawing>
      </w:r>
    </w:p>
    <w:p w14:paraId="476C2578" w14:textId="77777777" w:rsidR="00352758" w:rsidRDefault="00BB7EC4">
      <w:pPr>
        <w:pStyle w:val="Corpsdetexte"/>
        <w:spacing w:after="200"/>
        <w:ind w:right="140"/>
        <w:jc w:val="both"/>
        <w:rPr>
          <w:rFonts w:asciiTheme="majorHAnsi" w:hAnsiTheme="majorHAnsi"/>
          <w:sz w:val="22"/>
        </w:rPr>
      </w:pPr>
      <w:r>
        <w:rPr>
          <w:rFonts w:asciiTheme="majorHAnsi" w:hAnsiTheme="majorHAnsi"/>
          <w:sz w:val="22"/>
        </w:rPr>
        <w:t>Fig 11</w:t>
      </w:r>
      <w:r w:rsidR="00352758">
        <w:rPr>
          <w:rFonts w:asciiTheme="majorHAnsi" w:hAnsiTheme="majorHAnsi"/>
          <w:sz w:val="22"/>
        </w:rPr>
        <w:t> : distribution (log) des valeurs des 8 paramètres au sein de la population.</w:t>
      </w:r>
    </w:p>
    <w:p w14:paraId="1AE63833" w14:textId="77777777" w:rsidR="00135011" w:rsidRDefault="00135011">
      <w:pPr>
        <w:pStyle w:val="Corpsdetexte"/>
        <w:spacing w:after="200"/>
        <w:ind w:right="140"/>
        <w:jc w:val="both"/>
        <w:rPr>
          <w:rFonts w:asciiTheme="majorHAnsi" w:hAnsiTheme="majorHAnsi"/>
          <w:sz w:val="22"/>
        </w:rPr>
      </w:pPr>
      <w:r>
        <w:rPr>
          <w:rFonts w:asciiTheme="majorHAnsi" w:hAnsiTheme="majorHAnsi"/>
          <w:sz w:val="22"/>
        </w:rPr>
        <w:t>Ce travail doit être poursuivi afi</w:t>
      </w:r>
      <w:r w:rsidR="00BB7EC4">
        <w:rPr>
          <w:rFonts w:asciiTheme="majorHAnsi" w:hAnsiTheme="majorHAnsi"/>
          <w:sz w:val="22"/>
        </w:rPr>
        <w:t>n 1) de réaliser une analyse QTL</w:t>
      </w:r>
      <w:r>
        <w:rPr>
          <w:rFonts w:asciiTheme="majorHAnsi" w:hAnsiTheme="majorHAnsi"/>
          <w:sz w:val="22"/>
        </w:rPr>
        <w:t xml:space="preserve"> des 8 paramètres du modèle et 2) d’analyser au sein de la population les interactions </w:t>
      </w:r>
      <w:r w:rsidRPr="00156D1C">
        <w:rPr>
          <w:rFonts w:asciiTheme="majorHAnsi" w:hAnsiTheme="majorHAnsi"/>
          <w:sz w:val="22"/>
        </w:rPr>
        <w:t>complexes entre les différents processus impliqués dans la réponse au stress hydrique au cours du développement de la plante et de définir les meilleures stratégies d’adaptation sur le long terme ainsi que leurs impacts sur la qualité des fruits</w:t>
      </w:r>
      <w:r>
        <w:rPr>
          <w:rFonts w:asciiTheme="majorHAnsi" w:hAnsiTheme="majorHAnsi"/>
          <w:sz w:val="22"/>
        </w:rPr>
        <w:t xml:space="preserve"> (travail en cours)</w:t>
      </w:r>
      <w:r w:rsidRPr="00156D1C">
        <w:rPr>
          <w:rFonts w:asciiTheme="majorHAnsi" w:hAnsiTheme="majorHAnsi"/>
          <w:sz w:val="22"/>
        </w:rPr>
        <w:t>.</w:t>
      </w:r>
    </w:p>
    <w:p w14:paraId="0D06BA92" w14:textId="77777777" w:rsidR="00BF110B" w:rsidRPr="00156D1C" w:rsidRDefault="00BF110B">
      <w:pPr>
        <w:pStyle w:val="Corpsdetexte"/>
        <w:spacing w:after="200"/>
        <w:ind w:right="140"/>
        <w:jc w:val="both"/>
        <w:rPr>
          <w:rFonts w:asciiTheme="majorHAnsi" w:hAnsiTheme="majorHAnsi"/>
          <w:b/>
          <w:sz w:val="22"/>
        </w:rPr>
      </w:pPr>
    </w:p>
    <w:p w14:paraId="563035CD" w14:textId="77777777" w:rsidR="00BF110B" w:rsidRPr="00B32AF9" w:rsidRDefault="00BF110B" w:rsidP="00B32AF9">
      <w:pPr>
        <w:pStyle w:val="Corpsdetexte"/>
        <w:pBdr>
          <w:top w:val="single" w:sz="4" w:space="1" w:color="auto"/>
          <w:left w:val="single" w:sz="4" w:space="4" w:color="auto"/>
          <w:bottom w:val="single" w:sz="4" w:space="1" w:color="auto"/>
          <w:right w:val="single" w:sz="4" w:space="4" w:color="auto"/>
        </w:pBdr>
        <w:spacing w:after="200"/>
        <w:ind w:left="142" w:right="140"/>
        <w:rPr>
          <w:rFonts w:asciiTheme="majorHAnsi" w:hAnsiTheme="majorHAnsi"/>
          <w:color w:val="1F497D" w:themeColor="text2"/>
          <w:sz w:val="22"/>
        </w:rPr>
      </w:pPr>
      <w:r w:rsidRPr="00B32AF9">
        <w:rPr>
          <w:rFonts w:asciiTheme="majorHAnsi" w:hAnsiTheme="majorHAnsi"/>
          <w:b/>
          <w:color w:val="1F497D" w:themeColor="text2"/>
          <w:sz w:val="22"/>
        </w:rPr>
        <w:t>A4. Conception d’idéotypes culturaux adaptés à la contrainte hydrique et améliorés sur la qualité</w:t>
      </w:r>
    </w:p>
    <w:p w14:paraId="128CCD3F" w14:textId="77777777" w:rsidR="00135011" w:rsidRDefault="00135011">
      <w:pPr>
        <w:pStyle w:val="Corpsdetexte"/>
        <w:ind w:right="140"/>
        <w:jc w:val="both"/>
        <w:rPr>
          <w:rFonts w:asciiTheme="majorHAnsi" w:hAnsiTheme="majorHAnsi"/>
          <w:sz w:val="22"/>
        </w:rPr>
      </w:pPr>
      <w:r>
        <w:rPr>
          <w:rFonts w:asciiTheme="majorHAnsi" w:hAnsiTheme="majorHAnsi"/>
          <w:sz w:val="22"/>
        </w:rPr>
        <w:t>La gamme des valeurs de paramètres obtenue dans l’</w:t>
      </w:r>
      <w:r w:rsidRPr="00156D1C">
        <w:rPr>
          <w:rFonts w:asciiTheme="majorHAnsi" w:hAnsiTheme="majorHAnsi"/>
          <w:sz w:val="22"/>
        </w:rPr>
        <w:t xml:space="preserve">action A3 </w:t>
      </w:r>
      <w:r>
        <w:rPr>
          <w:rFonts w:asciiTheme="majorHAnsi" w:hAnsiTheme="majorHAnsi"/>
          <w:sz w:val="22"/>
        </w:rPr>
        <w:t>a été utilisée pour explorer la relation entre calibre du fruit et teneur en matière sèche du fruit dans différentes gammes d’alimentation en eau</w:t>
      </w:r>
      <w:r w:rsidRPr="00156D1C">
        <w:rPr>
          <w:rFonts w:asciiTheme="majorHAnsi" w:hAnsiTheme="majorHAnsi"/>
          <w:sz w:val="22"/>
        </w:rPr>
        <w:t>.</w:t>
      </w:r>
      <w:r>
        <w:rPr>
          <w:rFonts w:asciiTheme="majorHAnsi" w:hAnsiTheme="majorHAnsi"/>
          <w:sz w:val="22"/>
        </w:rPr>
        <w:t xml:space="preserve"> Les résultats sont en cours de production (publication prévue fin 2016).</w:t>
      </w:r>
    </w:p>
    <w:p w14:paraId="3EAAA036" w14:textId="77777777" w:rsidR="00BF110B" w:rsidRPr="00156D1C" w:rsidRDefault="00BF110B">
      <w:pPr>
        <w:pStyle w:val="Corpsdetexte"/>
        <w:jc w:val="both"/>
        <w:rPr>
          <w:rFonts w:asciiTheme="majorHAnsi" w:hAnsiTheme="majorHAnsi"/>
        </w:rPr>
      </w:pPr>
      <w:r w:rsidRPr="00156D1C">
        <w:rPr>
          <w:rFonts w:asciiTheme="majorHAnsi" w:hAnsiTheme="majorHAnsi"/>
          <w:sz w:val="22"/>
        </w:rPr>
        <w:t>L’enjeu principal de cette action est de déterminer des combinaisons de QTL (idéotypes) et des pratiques pour augmenter l’efficience de l’eau et améliorer la qualité des produits, afin de fournir aux sélectionneurs</w:t>
      </w:r>
      <w:r w:rsidRPr="00156D1C">
        <w:rPr>
          <w:rFonts w:asciiTheme="majorHAnsi" w:hAnsiTheme="majorHAnsi"/>
          <w:color w:val="000000"/>
        </w:rPr>
        <w:t xml:space="preserve"> </w:t>
      </w:r>
      <w:r w:rsidRPr="00156D1C">
        <w:rPr>
          <w:rFonts w:asciiTheme="majorHAnsi" w:hAnsiTheme="majorHAnsi"/>
          <w:color w:val="000000"/>
          <w:sz w:val="22"/>
        </w:rPr>
        <w:t xml:space="preserve">des cibles (locus) optimales pour la sélection. </w:t>
      </w:r>
      <w:r w:rsidRPr="00156D1C">
        <w:rPr>
          <w:rFonts w:asciiTheme="majorHAnsi" w:hAnsiTheme="majorHAnsi"/>
          <w:sz w:val="22"/>
        </w:rPr>
        <w:t xml:space="preserve">Un second enjeu scientifique est également de comparer l’efficacité de ces algorithmes d’optimisation pour la conception des systèmes de culture innovants dans le but de mettre à la disposition de notre communauté un outil efficace aussi générique que possible et d’ancrer l’utilisation de ce type d’approches dans la communauté car il est encore trop peu exploité. </w:t>
      </w:r>
    </w:p>
    <w:p w14:paraId="32D1058B" w14:textId="77777777" w:rsidR="00BF110B" w:rsidRDefault="00BF110B">
      <w:pPr>
        <w:pStyle w:val="Corpsdetexte"/>
        <w:ind w:left="1418" w:hanging="567"/>
        <w:jc w:val="both"/>
        <w:rPr>
          <w:rFonts w:asciiTheme="majorHAnsi" w:hAnsiTheme="majorHAnsi"/>
          <w:b/>
          <w:sz w:val="22"/>
          <w:u w:val="single"/>
        </w:rPr>
      </w:pPr>
    </w:p>
    <w:p w14:paraId="17CE7BBE" w14:textId="77777777" w:rsidR="00900748" w:rsidRDefault="00900748">
      <w:pPr>
        <w:pStyle w:val="Corpsdetexte"/>
        <w:ind w:left="1418" w:hanging="567"/>
        <w:jc w:val="both"/>
        <w:rPr>
          <w:rFonts w:asciiTheme="majorHAnsi" w:hAnsiTheme="majorHAnsi"/>
          <w:b/>
          <w:color w:val="1F497D" w:themeColor="text2"/>
        </w:rPr>
      </w:pPr>
    </w:p>
    <w:p w14:paraId="676DDE1F" w14:textId="77777777" w:rsidR="00900748" w:rsidRDefault="00900748">
      <w:pPr>
        <w:pStyle w:val="Corpsdetexte"/>
        <w:ind w:left="1418" w:hanging="567"/>
        <w:jc w:val="both"/>
        <w:rPr>
          <w:rFonts w:asciiTheme="majorHAnsi" w:hAnsiTheme="majorHAnsi"/>
          <w:b/>
          <w:color w:val="1F497D" w:themeColor="text2"/>
        </w:rPr>
      </w:pPr>
    </w:p>
    <w:p w14:paraId="7CEF2AA4" w14:textId="77777777" w:rsidR="00900748" w:rsidRDefault="00900748">
      <w:pPr>
        <w:pStyle w:val="Corpsdetexte"/>
        <w:ind w:left="1418" w:hanging="567"/>
        <w:jc w:val="both"/>
        <w:rPr>
          <w:rFonts w:asciiTheme="majorHAnsi" w:hAnsiTheme="majorHAnsi"/>
          <w:b/>
          <w:color w:val="1F497D" w:themeColor="text2"/>
        </w:rPr>
      </w:pPr>
    </w:p>
    <w:p w14:paraId="7E43DE8B" w14:textId="77777777" w:rsidR="00D30485" w:rsidRDefault="00D30485">
      <w:pPr>
        <w:pStyle w:val="Corpsdetexte"/>
        <w:ind w:left="1418" w:hanging="567"/>
        <w:jc w:val="both"/>
        <w:rPr>
          <w:rFonts w:asciiTheme="majorHAnsi" w:hAnsiTheme="majorHAnsi"/>
          <w:b/>
          <w:color w:val="1F497D" w:themeColor="text2"/>
        </w:rPr>
      </w:pPr>
      <w:r w:rsidRPr="00B32AF9">
        <w:rPr>
          <w:rFonts w:asciiTheme="majorHAnsi" w:hAnsiTheme="majorHAnsi"/>
          <w:b/>
          <w:color w:val="1F497D" w:themeColor="text2"/>
        </w:rPr>
        <w:lastRenderedPageBreak/>
        <w:t>Bilan en terme de valorisation</w:t>
      </w:r>
    </w:p>
    <w:p w14:paraId="0CBD7C33" w14:textId="77777777" w:rsidR="00900748" w:rsidRPr="00B32AF9" w:rsidRDefault="00900748">
      <w:pPr>
        <w:pStyle w:val="Corpsdetexte"/>
        <w:ind w:left="1418" w:hanging="567"/>
        <w:jc w:val="both"/>
        <w:rPr>
          <w:rFonts w:asciiTheme="majorHAnsi" w:hAnsiTheme="majorHAnsi"/>
          <w:b/>
          <w:color w:val="1F497D" w:themeColor="text2"/>
        </w:rPr>
      </w:pPr>
    </w:p>
    <w:p w14:paraId="5C527430" w14:textId="77777777" w:rsidR="00D30485" w:rsidRDefault="00D30485" w:rsidP="00D30485">
      <w:pPr>
        <w:pStyle w:val="Corpsdetexte"/>
        <w:ind w:left="1418" w:hanging="567"/>
        <w:jc w:val="both"/>
        <w:rPr>
          <w:rFonts w:asciiTheme="majorHAnsi" w:hAnsiTheme="majorHAnsi"/>
          <w:b/>
          <w:sz w:val="22"/>
          <w:u w:val="single"/>
        </w:rPr>
      </w:pPr>
      <w:r>
        <w:rPr>
          <w:rFonts w:asciiTheme="majorHAnsi" w:hAnsiTheme="majorHAnsi"/>
          <w:b/>
          <w:sz w:val="22"/>
          <w:u w:val="single"/>
        </w:rPr>
        <w:t>Présentations à des congrès</w:t>
      </w:r>
    </w:p>
    <w:p w14:paraId="62403019" w14:textId="77777777" w:rsidR="00B32AF9" w:rsidRPr="00B32AF9" w:rsidRDefault="00B32AF9" w:rsidP="00B32AF9">
      <w:pPr>
        <w:pStyle w:val="NormalWeb"/>
        <w:numPr>
          <w:ilvl w:val="0"/>
          <w:numId w:val="6"/>
        </w:numPr>
        <w:spacing w:before="0" w:beforeAutospacing="0" w:after="0" w:afterAutospacing="0"/>
        <w:rPr>
          <w:rFonts w:asciiTheme="majorHAnsi" w:hAnsiTheme="majorHAnsi"/>
          <w:sz w:val="22"/>
          <w:szCs w:val="22"/>
        </w:rPr>
      </w:pPr>
      <w:r w:rsidRPr="00761CB3">
        <w:rPr>
          <w:rFonts w:asciiTheme="majorHAnsi" w:hAnsiTheme="majorHAnsi"/>
          <w:sz w:val="22"/>
          <w:szCs w:val="22"/>
          <w:lang w:val="en-US"/>
        </w:rPr>
        <w:t xml:space="preserve">Albert E, Y Carretero, J Gricourt, R Duboscq, E Pelpoir, R Novaretti, C Duffes, J Bonnefoi,  S Pateyron, Jp Tamby, F Bitton, C Sauvage, M Causse (2015) Genotype by watering regime interaction in cultivated tomato. </w:t>
      </w:r>
      <w:r w:rsidRPr="00B32AF9">
        <w:rPr>
          <w:rFonts w:asciiTheme="majorHAnsi" w:hAnsiTheme="majorHAnsi"/>
          <w:sz w:val="22"/>
          <w:szCs w:val="22"/>
        </w:rPr>
        <w:t>Workshop: COST FA1106 "Genotype and environment", June 5-6, 2015, Verona, (Italy)</w:t>
      </w:r>
      <w:r w:rsidR="00BB7EC4">
        <w:rPr>
          <w:rFonts w:asciiTheme="majorHAnsi" w:hAnsiTheme="majorHAnsi"/>
          <w:sz w:val="22"/>
          <w:szCs w:val="22"/>
        </w:rPr>
        <w:t xml:space="preserve"> ; </w:t>
      </w:r>
      <w:r w:rsidR="00BB7EC4" w:rsidRPr="00B32AF9">
        <w:rPr>
          <w:rFonts w:asciiTheme="majorHAnsi" w:hAnsiTheme="majorHAnsi"/>
          <w:sz w:val="22"/>
          <w:szCs w:val="22"/>
        </w:rPr>
        <w:t>(Présentation orale)</w:t>
      </w:r>
    </w:p>
    <w:p w14:paraId="5382270B" w14:textId="77777777" w:rsidR="00B32AF9" w:rsidRPr="00B32AF9" w:rsidRDefault="00B32AF9" w:rsidP="00B32AF9">
      <w:pPr>
        <w:pStyle w:val="NormalWeb"/>
        <w:spacing w:before="0" w:beforeAutospacing="0" w:after="0" w:afterAutospacing="0"/>
        <w:ind w:left="180"/>
        <w:rPr>
          <w:rFonts w:asciiTheme="majorHAnsi" w:hAnsiTheme="majorHAnsi"/>
          <w:sz w:val="22"/>
          <w:szCs w:val="22"/>
        </w:rPr>
      </w:pPr>
    </w:p>
    <w:p w14:paraId="4320A36B" w14:textId="77777777" w:rsidR="00B32AF9" w:rsidRPr="00B32AF9" w:rsidRDefault="00B32AF9" w:rsidP="00B32AF9">
      <w:pPr>
        <w:pStyle w:val="NormalWeb"/>
        <w:numPr>
          <w:ilvl w:val="0"/>
          <w:numId w:val="6"/>
        </w:numPr>
        <w:spacing w:before="0" w:beforeAutospacing="0" w:after="0" w:afterAutospacing="0"/>
        <w:rPr>
          <w:rFonts w:asciiTheme="majorHAnsi" w:hAnsiTheme="majorHAnsi"/>
          <w:sz w:val="22"/>
          <w:szCs w:val="22"/>
        </w:rPr>
      </w:pPr>
      <w:r w:rsidRPr="00B32AF9">
        <w:rPr>
          <w:rFonts w:asciiTheme="majorHAnsi" w:hAnsiTheme="majorHAnsi"/>
          <w:sz w:val="22"/>
          <w:szCs w:val="22"/>
        </w:rPr>
        <w:t>Albert E, Y Carretero, J Gricourt, R Duboscq, E Pelpoir, R Novaretti, C Duffes, J Bonnefoi,  S Pateyron, Jp Tamby, F Bitton, C Sauvage, M Causse (2015) Genotype by watering regime interaction in cultivated tomato. Congres Innovation in Integrated &amp; Organic Horticulture, June 8-15, 2015, Avignon (France)</w:t>
      </w:r>
      <w:r w:rsidR="00BB7EC4">
        <w:rPr>
          <w:rFonts w:asciiTheme="majorHAnsi" w:hAnsiTheme="majorHAnsi"/>
          <w:sz w:val="22"/>
          <w:szCs w:val="22"/>
        </w:rPr>
        <w:t xml:space="preserve"> ; </w:t>
      </w:r>
      <w:r w:rsidR="00BB7EC4" w:rsidRPr="00B32AF9">
        <w:rPr>
          <w:rFonts w:asciiTheme="majorHAnsi" w:hAnsiTheme="majorHAnsi"/>
          <w:sz w:val="22"/>
          <w:szCs w:val="22"/>
        </w:rPr>
        <w:t>(Présentation orale)</w:t>
      </w:r>
    </w:p>
    <w:p w14:paraId="562A1237" w14:textId="77777777" w:rsidR="00B32AF9" w:rsidRPr="00B32AF9" w:rsidRDefault="00B32AF9" w:rsidP="00B32AF9">
      <w:pPr>
        <w:pStyle w:val="NormalWeb"/>
        <w:spacing w:before="0" w:beforeAutospacing="0" w:after="0" w:afterAutospacing="0"/>
        <w:ind w:left="180"/>
        <w:rPr>
          <w:rFonts w:asciiTheme="majorHAnsi" w:hAnsiTheme="majorHAnsi"/>
          <w:sz w:val="22"/>
          <w:szCs w:val="22"/>
        </w:rPr>
      </w:pPr>
    </w:p>
    <w:p w14:paraId="2709B9B9" w14:textId="77777777" w:rsidR="00B32AF9" w:rsidRPr="00761CB3" w:rsidRDefault="00B32AF9" w:rsidP="00B32AF9">
      <w:pPr>
        <w:pStyle w:val="NormalWeb"/>
        <w:numPr>
          <w:ilvl w:val="0"/>
          <w:numId w:val="6"/>
        </w:numPr>
        <w:spacing w:before="0" w:beforeAutospacing="0" w:after="0" w:afterAutospacing="0"/>
        <w:rPr>
          <w:rFonts w:asciiTheme="majorHAnsi" w:hAnsiTheme="majorHAnsi"/>
          <w:sz w:val="22"/>
          <w:szCs w:val="22"/>
          <w:lang w:val="en-US"/>
        </w:rPr>
      </w:pPr>
      <w:r w:rsidRPr="00BB7EC4">
        <w:rPr>
          <w:rStyle w:val="lev"/>
          <w:rFonts w:asciiTheme="majorHAnsi" w:hAnsiTheme="majorHAnsi"/>
          <w:b w:val="0"/>
          <w:sz w:val="22"/>
          <w:szCs w:val="22"/>
          <w:lang w:val="en-US"/>
        </w:rPr>
        <w:t>Albert</w:t>
      </w:r>
      <w:r w:rsidR="00BB7EC4" w:rsidRPr="00BB7EC4">
        <w:rPr>
          <w:rStyle w:val="lev"/>
          <w:rFonts w:asciiTheme="majorHAnsi" w:hAnsiTheme="majorHAnsi"/>
          <w:b w:val="0"/>
          <w:sz w:val="22"/>
          <w:szCs w:val="22"/>
          <w:lang w:val="en-US"/>
        </w:rPr>
        <w:t xml:space="preserve"> E</w:t>
      </w:r>
      <w:r w:rsidRPr="00BB7EC4">
        <w:rPr>
          <w:rStyle w:val="lev"/>
          <w:rFonts w:asciiTheme="majorHAnsi" w:hAnsiTheme="majorHAnsi"/>
          <w:b w:val="0"/>
          <w:sz w:val="22"/>
          <w:szCs w:val="22"/>
          <w:lang w:val="en-US"/>
        </w:rPr>
        <w:t xml:space="preserve">, </w:t>
      </w:r>
      <w:r w:rsidRPr="00BB7EC4">
        <w:rPr>
          <w:rFonts w:asciiTheme="majorHAnsi" w:hAnsiTheme="majorHAnsi"/>
          <w:b/>
          <w:sz w:val="22"/>
          <w:szCs w:val="22"/>
          <w:lang w:val="en-US"/>
        </w:rPr>
        <w:t>Y</w:t>
      </w:r>
      <w:r w:rsidRPr="00761CB3">
        <w:rPr>
          <w:rFonts w:asciiTheme="majorHAnsi" w:hAnsiTheme="majorHAnsi"/>
          <w:sz w:val="22"/>
          <w:szCs w:val="22"/>
          <w:lang w:val="en-US"/>
        </w:rPr>
        <w:t xml:space="preserve"> Carretero, J Gricourt, R Duboscq, E Pelpoir, R Novaretti, C Duffes, J Bonnefoi,  S Pateyron, Jp Tamby, F Bitton, C Sauvage, M Causse “</w:t>
      </w:r>
      <w:r w:rsidRPr="00761CB3">
        <w:rPr>
          <w:rStyle w:val="Accentuation"/>
          <w:rFonts w:asciiTheme="majorHAnsi" w:hAnsiTheme="majorHAnsi"/>
          <w:sz w:val="22"/>
          <w:szCs w:val="22"/>
          <w:lang w:val="en-US"/>
        </w:rPr>
        <w:t>Genotype by watering regime interaction in cultivated tomato: from phenotypes to genes</w:t>
      </w:r>
      <w:r w:rsidRPr="00761CB3">
        <w:rPr>
          <w:rFonts w:asciiTheme="majorHAnsi" w:hAnsiTheme="majorHAnsi"/>
          <w:sz w:val="22"/>
          <w:szCs w:val="22"/>
          <w:lang w:val="en-US"/>
        </w:rPr>
        <w:t>” ; 12th Solanaceae Conference, Bordeaux, October 25-29, 2015</w:t>
      </w:r>
      <w:r w:rsidR="00BB7EC4">
        <w:rPr>
          <w:rFonts w:asciiTheme="majorHAnsi" w:hAnsiTheme="majorHAnsi"/>
          <w:sz w:val="22"/>
          <w:szCs w:val="22"/>
          <w:lang w:val="en-US"/>
        </w:rPr>
        <w:t xml:space="preserve">; </w:t>
      </w:r>
      <w:r w:rsidR="00BB7EC4" w:rsidRPr="00F7464C">
        <w:rPr>
          <w:rFonts w:asciiTheme="majorHAnsi" w:hAnsiTheme="majorHAnsi"/>
          <w:sz w:val="22"/>
          <w:szCs w:val="22"/>
          <w:lang w:val="en-US"/>
        </w:rPr>
        <w:t>(Présentation orale)</w:t>
      </w:r>
    </w:p>
    <w:p w14:paraId="3B26BDB5" w14:textId="77777777" w:rsidR="00B32AF9" w:rsidRPr="00761CB3" w:rsidRDefault="00B32AF9" w:rsidP="00B32AF9">
      <w:pPr>
        <w:pStyle w:val="NormalWeb"/>
        <w:spacing w:before="0" w:beforeAutospacing="0" w:after="0" w:afterAutospacing="0"/>
        <w:ind w:left="180"/>
        <w:rPr>
          <w:rFonts w:asciiTheme="majorHAnsi" w:hAnsiTheme="majorHAnsi"/>
          <w:sz w:val="22"/>
          <w:szCs w:val="22"/>
          <w:lang w:val="en-US"/>
        </w:rPr>
      </w:pPr>
    </w:p>
    <w:p w14:paraId="584897E1" w14:textId="77777777" w:rsidR="00B32AF9" w:rsidRDefault="00B32AF9" w:rsidP="00B32AF9">
      <w:pPr>
        <w:pStyle w:val="NormalWeb"/>
        <w:numPr>
          <w:ilvl w:val="0"/>
          <w:numId w:val="6"/>
        </w:numPr>
        <w:spacing w:before="0" w:beforeAutospacing="0" w:after="0" w:afterAutospacing="0"/>
        <w:rPr>
          <w:rFonts w:asciiTheme="majorHAnsi" w:hAnsiTheme="majorHAnsi"/>
          <w:sz w:val="22"/>
          <w:szCs w:val="22"/>
        </w:rPr>
      </w:pPr>
      <w:r w:rsidRPr="00761CB3">
        <w:rPr>
          <w:rFonts w:asciiTheme="majorHAnsi" w:hAnsiTheme="majorHAnsi"/>
          <w:sz w:val="22"/>
          <w:szCs w:val="22"/>
          <w:lang w:val="en-US"/>
        </w:rPr>
        <w:t xml:space="preserve">Ripoll J., Urban L., Brunel B., Goujon A., L’Hôtel J-C., Causse M., Bertin N. 2014.  Promoting adaptation to drought and fruit and quality by alternating increased intensity of deficit irrigation and recorvery period. </w:t>
      </w:r>
      <w:r w:rsidRPr="00B32AF9">
        <w:rPr>
          <w:rFonts w:asciiTheme="majorHAnsi" w:hAnsiTheme="majorHAnsi"/>
          <w:sz w:val="22"/>
          <w:szCs w:val="22"/>
        </w:rPr>
        <w:t>Eucarpia Tomato meeting, Avignon 22-25 April 2014, Poster</w:t>
      </w:r>
    </w:p>
    <w:p w14:paraId="73F76562" w14:textId="77777777" w:rsidR="00FE3621" w:rsidRDefault="00FE3621" w:rsidP="0002616E">
      <w:pPr>
        <w:pStyle w:val="Paragraphedeliste"/>
        <w:rPr>
          <w:rFonts w:asciiTheme="majorHAnsi" w:hAnsiTheme="majorHAnsi"/>
          <w:sz w:val="22"/>
          <w:szCs w:val="22"/>
        </w:rPr>
      </w:pPr>
    </w:p>
    <w:p w14:paraId="74F947DA" w14:textId="77777777" w:rsidR="00FE3621" w:rsidRDefault="00FE3621" w:rsidP="00FE3621">
      <w:pPr>
        <w:pStyle w:val="NormalWeb"/>
        <w:numPr>
          <w:ilvl w:val="0"/>
          <w:numId w:val="6"/>
        </w:numPr>
        <w:spacing w:before="0" w:beforeAutospacing="0" w:after="0" w:afterAutospacing="0"/>
        <w:rPr>
          <w:rFonts w:asciiTheme="majorHAnsi" w:hAnsiTheme="majorHAnsi"/>
          <w:sz w:val="22"/>
          <w:szCs w:val="22"/>
        </w:rPr>
      </w:pPr>
      <w:r w:rsidRPr="0002616E">
        <w:rPr>
          <w:rFonts w:asciiTheme="majorHAnsi" w:hAnsiTheme="majorHAnsi"/>
          <w:sz w:val="22"/>
          <w:szCs w:val="22"/>
          <w:lang w:val="en-US"/>
        </w:rPr>
        <w:t xml:space="preserve">Ripoll J, Urban L, Brunel B, L’Hôtel J-C, Bertin N. 2014. Impact of water deficit on tomato fruit quality and growth depends on the developmental stage affected by stress. </w:t>
      </w:r>
      <w:r w:rsidRPr="00FE3621">
        <w:rPr>
          <w:rFonts w:asciiTheme="majorHAnsi" w:hAnsiTheme="majorHAnsi"/>
          <w:sz w:val="22"/>
          <w:szCs w:val="22"/>
        </w:rPr>
        <w:t>IHC 2014 Brisbane, Australie. Poster + abstract.</w:t>
      </w:r>
    </w:p>
    <w:p w14:paraId="1A465BBA" w14:textId="77777777" w:rsidR="00FE3621" w:rsidRDefault="00FE3621" w:rsidP="0002616E">
      <w:pPr>
        <w:pStyle w:val="Paragraphedeliste"/>
        <w:rPr>
          <w:rFonts w:asciiTheme="majorHAnsi" w:hAnsiTheme="majorHAnsi"/>
          <w:sz w:val="22"/>
          <w:szCs w:val="22"/>
        </w:rPr>
      </w:pPr>
    </w:p>
    <w:p w14:paraId="1839A6D8" w14:textId="77777777" w:rsidR="00FE3621" w:rsidRPr="0002616E" w:rsidRDefault="00FE3621" w:rsidP="00FE3621">
      <w:pPr>
        <w:pStyle w:val="NormalWeb"/>
        <w:numPr>
          <w:ilvl w:val="0"/>
          <w:numId w:val="6"/>
        </w:numPr>
        <w:spacing w:before="0" w:beforeAutospacing="0" w:after="0" w:afterAutospacing="0"/>
        <w:rPr>
          <w:rFonts w:asciiTheme="majorHAnsi" w:hAnsiTheme="majorHAnsi"/>
          <w:sz w:val="22"/>
          <w:szCs w:val="22"/>
          <w:lang w:val="en-US"/>
        </w:rPr>
      </w:pPr>
      <w:r w:rsidRPr="00FE3621">
        <w:rPr>
          <w:rFonts w:asciiTheme="majorHAnsi" w:hAnsiTheme="majorHAnsi"/>
          <w:sz w:val="22"/>
          <w:szCs w:val="22"/>
        </w:rPr>
        <w:t xml:space="preserve">Ripoll J, Urban L, Brunel B, Goujon A., L’Hôtel J-C, Causse M., Bertin N. 2014. </w:t>
      </w:r>
      <w:r w:rsidRPr="0002616E">
        <w:rPr>
          <w:rFonts w:asciiTheme="majorHAnsi" w:hAnsiTheme="majorHAnsi"/>
          <w:sz w:val="22"/>
          <w:szCs w:val="22"/>
          <w:lang w:val="en-US"/>
        </w:rPr>
        <w:t>Variability of the genetic response of tomato during soil drying and repeated cycles of water deficit and recovery.  Plant Biology Europe FESPB/EPSO Congress 2014, Dublin, Ireland, 22-26 June 2014. Poster + abstract.</w:t>
      </w:r>
    </w:p>
    <w:p w14:paraId="76C26FC0" w14:textId="77777777" w:rsidR="00B32AF9" w:rsidRPr="0002616E" w:rsidRDefault="00B32AF9" w:rsidP="00D30485">
      <w:pPr>
        <w:pStyle w:val="Corpsdetexte"/>
        <w:ind w:left="1418" w:hanging="567"/>
        <w:jc w:val="both"/>
        <w:rPr>
          <w:rFonts w:asciiTheme="majorHAnsi" w:hAnsiTheme="majorHAnsi"/>
          <w:sz w:val="22"/>
          <w:szCs w:val="22"/>
          <w:lang w:val="en-US"/>
        </w:rPr>
      </w:pPr>
    </w:p>
    <w:p w14:paraId="1C461D4D" w14:textId="77777777" w:rsidR="00D30485" w:rsidRPr="00B32AF9" w:rsidRDefault="00D30485">
      <w:pPr>
        <w:pStyle w:val="Corpsdetexte"/>
        <w:ind w:left="1418" w:hanging="567"/>
        <w:jc w:val="both"/>
        <w:rPr>
          <w:rFonts w:asciiTheme="majorHAnsi" w:hAnsiTheme="majorHAnsi"/>
          <w:b/>
          <w:sz w:val="22"/>
          <w:szCs w:val="22"/>
          <w:u w:val="single"/>
        </w:rPr>
      </w:pPr>
      <w:r w:rsidRPr="00B32AF9">
        <w:rPr>
          <w:rFonts w:asciiTheme="majorHAnsi" w:hAnsiTheme="majorHAnsi"/>
          <w:b/>
          <w:sz w:val="22"/>
          <w:szCs w:val="22"/>
          <w:u w:val="single"/>
        </w:rPr>
        <w:t>Publications</w:t>
      </w:r>
    </w:p>
    <w:p w14:paraId="48DED2E3" w14:textId="77777777" w:rsidR="00B32AF9" w:rsidRDefault="00B32AF9" w:rsidP="00B32AF9">
      <w:pPr>
        <w:pStyle w:val="Paragraphedeliste"/>
        <w:numPr>
          <w:ilvl w:val="0"/>
          <w:numId w:val="7"/>
        </w:numPr>
        <w:adjustRightInd w:val="0"/>
        <w:spacing w:after="240"/>
        <w:rPr>
          <w:rFonts w:asciiTheme="majorHAnsi" w:eastAsia="MS Mincho" w:hAnsiTheme="majorHAnsi"/>
          <w:color w:val="000000"/>
          <w:sz w:val="22"/>
          <w:szCs w:val="22"/>
          <w:lang w:val="en" w:eastAsia="ja-JP"/>
        </w:rPr>
      </w:pPr>
      <w:r w:rsidRPr="00B32AF9">
        <w:rPr>
          <w:rFonts w:asciiTheme="majorHAnsi" w:eastAsia="MS Mincho" w:hAnsiTheme="majorHAnsi"/>
          <w:color w:val="000000"/>
          <w:sz w:val="22"/>
          <w:szCs w:val="22"/>
          <w:lang w:val="en" w:eastAsia="ja-JP"/>
        </w:rPr>
        <w:t>Albert E, Gricourt J, Bertin N, Bonnefoi J, Pateyron S, Tamby JP, Bitton F, Causse M. 2016. Genotype by watering regime interactions in cultivated tomato: lessons from linkage mapping and gene expression. Theor Appl Genet 129: 395-418</w:t>
      </w:r>
    </w:p>
    <w:p w14:paraId="274D25FC" w14:textId="77777777" w:rsidR="00900748" w:rsidRDefault="00900748" w:rsidP="00900748">
      <w:pPr>
        <w:pStyle w:val="Paragraphedeliste"/>
        <w:adjustRightInd w:val="0"/>
        <w:spacing w:after="240"/>
        <w:ind w:left="464"/>
        <w:rPr>
          <w:rFonts w:asciiTheme="majorHAnsi" w:eastAsia="MS Mincho" w:hAnsiTheme="majorHAnsi"/>
          <w:color w:val="000000"/>
          <w:sz w:val="22"/>
          <w:szCs w:val="22"/>
          <w:lang w:val="en" w:eastAsia="ja-JP"/>
        </w:rPr>
      </w:pPr>
    </w:p>
    <w:p w14:paraId="55B6EE04" w14:textId="77777777" w:rsidR="00FE3621" w:rsidRPr="00B32AF9" w:rsidRDefault="00FE3621" w:rsidP="00FE3621">
      <w:pPr>
        <w:pStyle w:val="Paragraphedeliste"/>
        <w:numPr>
          <w:ilvl w:val="0"/>
          <w:numId w:val="7"/>
        </w:numPr>
        <w:adjustRightInd w:val="0"/>
        <w:spacing w:after="240"/>
        <w:rPr>
          <w:rFonts w:asciiTheme="majorHAnsi" w:eastAsia="MS Mincho" w:hAnsiTheme="majorHAnsi"/>
          <w:color w:val="000000"/>
          <w:sz w:val="22"/>
          <w:szCs w:val="22"/>
          <w:lang w:val="en" w:eastAsia="ja-JP"/>
        </w:rPr>
      </w:pPr>
      <w:r w:rsidRPr="00FE3621">
        <w:rPr>
          <w:rFonts w:asciiTheme="majorHAnsi" w:eastAsia="MS Mincho" w:hAnsiTheme="majorHAnsi"/>
          <w:color w:val="000000"/>
          <w:sz w:val="22"/>
          <w:szCs w:val="22"/>
          <w:lang w:val="en" w:eastAsia="ja-JP"/>
        </w:rPr>
        <w:t>Ripoll J, Urban L, Bertin N. 2016. The Potential of the MAGIC TOM Parental Accessions to Explore the Genetic Variability in Tomato Acclimation to Repeated Cycles of Water Deficit and Recovery. Front. Plant Sci. 6:1172. doi: 10.3389/fpls.2015.01172</w:t>
      </w:r>
    </w:p>
    <w:p w14:paraId="65D5F581" w14:textId="77777777" w:rsidR="00D30485" w:rsidRPr="00B32AF9" w:rsidRDefault="00D30485">
      <w:pPr>
        <w:pStyle w:val="Corpsdetexte"/>
        <w:ind w:left="1418" w:hanging="567"/>
        <w:jc w:val="both"/>
        <w:rPr>
          <w:rFonts w:asciiTheme="majorHAnsi" w:hAnsiTheme="majorHAnsi"/>
          <w:b/>
          <w:sz w:val="22"/>
          <w:szCs w:val="22"/>
          <w:u w:val="single"/>
        </w:rPr>
      </w:pPr>
      <w:r w:rsidRPr="00B32AF9">
        <w:rPr>
          <w:rFonts w:asciiTheme="majorHAnsi" w:hAnsiTheme="majorHAnsi"/>
          <w:b/>
          <w:sz w:val="22"/>
          <w:szCs w:val="22"/>
          <w:u w:val="single"/>
        </w:rPr>
        <w:t>Rapports de stage</w:t>
      </w:r>
    </w:p>
    <w:p w14:paraId="5C383ED6" w14:textId="77777777" w:rsidR="00B32AF9" w:rsidRPr="00B32AF9" w:rsidRDefault="00B32AF9" w:rsidP="00B32AF9">
      <w:pPr>
        <w:pStyle w:val="Corpsdetexte"/>
        <w:numPr>
          <w:ilvl w:val="0"/>
          <w:numId w:val="7"/>
        </w:numPr>
        <w:jc w:val="both"/>
        <w:rPr>
          <w:rFonts w:asciiTheme="majorHAnsi" w:hAnsiTheme="majorHAnsi"/>
          <w:sz w:val="22"/>
          <w:szCs w:val="22"/>
        </w:rPr>
      </w:pPr>
      <w:r w:rsidRPr="00B32AF9">
        <w:rPr>
          <w:rFonts w:asciiTheme="majorHAnsi" w:hAnsiTheme="majorHAnsi"/>
          <w:sz w:val="22"/>
          <w:szCs w:val="22"/>
        </w:rPr>
        <w:t>Claire Duffès (rapport de stage M2) 2013</w:t>
      </w:r>
    </w:p>
    <w:p w14:paraId="74CF83F0" w14:textId="77777777" w:rsidR="00BB7EC4" w:rsidRPr="00FE3621" w:rsidRDefault="00BB7EC4" w:rsidP="00BB7EC4">
      <w:pPr>
        <w:pStyle w:val="Corpsdetexte"/>
        <w:numPr>
          <w:ilvl w:val="0"/>
          <w:numId w:val="7"/>
        </w:numPr>
        <w:jc w:val="both"/>
        <w:rPr>
          <w:rFonts w:asciiTheme="majorHAnsi" w:hAnsiTheme="majorHAnsi"/>
          <w:sz w:val="22"/>
          <w:szCs w:val="22"/>
        </w:rPr>
      </w:pPr>
      <w:r>
        <w:rPr>
          <w:rFonts w:asciiTheme="majorHAnsi" w:hAnsiTheme="majorHAnsi"/>
          <w:sz w:val="22"/>
          <w:szCs w:val="22"/>
        </w:rPr>
        <w:t xml:space="preserve">Julien Bonnefoi </w:t>
      </w:r>
      <w:r w:rsidRPr="00B32AF9">
        <w:rPr>
          <w:rFonts w:asciiTheme="majorHAnsi" w:hAnsiTheme="majorHAnsi"/>
          <w:sz w:val="22"/>
          <w:szCs w:val="22"/>
        </w:rPr>
        <w:t>(rapport de stage M2) 2013</w:t>
      </w:r>
    </w:p>
    <w:p w14:paraId="5805731D" w14:textId="77777777" w:rsidR="00D30485" w:rsidRDefault="00D30485" w:rsidP="00B32AF9">
      <w:pPr>
        <w:pStyle w:val="Corpsdetexte"/>
        <w:numPr>
          <w:ilvl w:val="0"/>
          <w:numId w:val="7"/>
        </w:numPr>
        <w:jc w:val="both"/>
        <w:rPr>
          <w:rFonts w:asciiTheme="majorHAnsi" w:hAnsiTheme="majorHAnsi"/>
          <w:sz w:val="22"/>
          <w:szCs w:val="22"/>
        </w:rPr>
      </w:pPr>
      <w:r w:rsidRPr="00B32AF9">
        <w:rPr>
          <w:rFonts w:asciiTheme="majorHAnsi" w:hAnsiTheme="majorHAnsi"/>
          <w:sz w:val="22"/>
          <w:szCs w:val="22"/>
        </w:rPr>
        <w:t>Romain Novaretti (</w:t>
      </w:r>
      <w:r w:rsidR="00B32AF9" w:rsidRPr="00B32AF9">
        <w:rPr>
          <w:rFonts w:asciiTheme="majorHAnsi" w:hAnsiTheme="majorHAnsi"/>
          <w:sz w:val="22"/>
          <w:szCs w:val="22"/>
        </w:rPr>
        <w:t xml:space="preserve">rapport de stage </w:t>
      </w:r>
      <w:r w:rsidRPr="00B32AF9">
        <w:rPr>
          <w:rFonts w:asciiTheme="majorHAnsi" w:hAnsiTheme="majorHAnsi"/>
          <w:sz w:val="22"/>
          <w:szCs w:val="22"/>
        </w:rPr>
        <w:t>M2)</w:t>
      </w:r>
      <w:r w:rsidR="00B32AF9" w:rsidRPr="00B32AF9">
        <w:rPr>
          <w:rFonts w:asciiTheme="majorHAnsi" w:hAnsiTheme="majorHAnsi"/>
          <w:sz w:val="22"/>
          <w:szCs w:val="22"/>
        </w:rPr>
        <w:t xml:space="preserve"> 2014</w:t>
      </w:r>
    </w:p>
    <w:p w14:paraId="641E1326" w14:textId="77777777" w:rsidR="00B32AF9" w:rsidRPr="00B32AF9" w:rsidRDefault="00B32AF9" w:rsidP="00B32AF9">
      <w:pPr>
        <w:pStyle w:val="Corpsdetexte"/>
        <w:ind w:left="464"/>
        <w:jc w:val="both"/>
        <w:rPr>
          <w:rFonts w:asciiTheme="majorHAnsi" w:hAnsiTheme="majorHAnsi"/>
          <w:sz w:val="22"/>
          <w:szCs w:val="22"/>
        </w:rPr>
      </w:pPr>
    </w:p>
    <w:p w14:paraId="70D17D0E" w14:textId="77777777" w:rsidR="00B32AF9" w:rsidRPr="00B32AF9" w:rsidRDefault="00B32AF9" w:rsidP="00B32AF9">
      <w:pPr>
        <w:pStyle w:val="Corpsdetexte"/>
        <w:ind w:left="464"/>
        <w:jc w:val="both"/>
        <w:rPr>
          <w:rFonts w:asciiTheme="majorHAnsi" w:hAnsiTheme="majorHAnsi"/>
          <w:b/>
          <w:sz w:val="22"/>
          <w:szCs w:val="22"/>
          <w:u w:val="single"/>
        </w:rPr>
      </w:pPr>
      <w:r w:rsidRPr="00B32AF9">
        <w:rPr>
          <w:rFonts w:asciiTheme="majorHAnsi" w:hAnsiTheme="majorHAnsi"/>
          <w:b/>
          <w:sz w:val="22"/>
          <w:szCs w:val="22"/>
          <w:u w:val="single"/>
        </w:rPr>
        <w:t xml:space="preserve">Réunions de projets </w:t>
      </w:r>
    </w:p>
    <w:p w14:paraId="2FB783A3" w14:textId="77777777" w:rsidR="00B32AF9" w:rsidRPr="00B32AF9" w:rsidRDefault="00B32AF9">
      <w:pPr>
        <w:rPr>
          <w:rFonts w:asciiTheme="majorHAnsi" w:eastAsia="Times New Roman" w:hAnsiTheme="majorHAnsi" w:cs="Times New Roman"/>
          <w:kern w:val="0"/>
          <w:sz w:val="22"/>
          <w:szCs w:val="22"/>
          <w:lang w:eastAsia="fr-FR" w:bidi="ar-SA"/>
        </w:rPr>
      </w:pPr>
      <w:r w:rsidRPr="00B32AF9">
        <w:rPr>
          <w:rFonts w:asciiTheme="majorHAnsi" w:eastAsia="Times New Roman" w:hAnsiTheme="majorHAnsi" w:cs="Times New Roman"/>
          <w:kern w:val="0"/>
          <w:sz w:val="22"/>
          <w:szCs w:val="22"/>
          <w:lang w:eastAsia="fr-FR" w:bidi="ar-SA"/>
        </w:rPr>
        <w:t>Trois réunions de l’ensemble de</w:t>
      </w:r>
      <w:r w:rsidR="00BB7EC4">
        <w:rPr>
          <w:rFonts w:asciiTheme="majorHAnsi" w:eastAsia="Times New Roman" w:hAnsiTheme="majorHAnsi" w:cs="Times New Roman"/>
          <w:kern w:val="0"/>
          <w:sz w:val="22"/>
          <w:szCs w:val="22"/>
          <w:lang w:eastAsia="fr-FR" w:bidi="ar-SA"/>
        </w:rPr>
        <w:t>s partenaires ont eu lieu chaque fin d’année.</w:t>
      </w:r>
    </w:p>
    <w:p w14:paraId="2E41E04E" w14:textId="77777777" w:rsidR="00B32AF9" w:rsidRPr="00B32AF9" w:rsidRDefault="00B32AF9">
      <w:pPr>
        <w:rPr>
          <w:rFonts w:asciiTheme="majorHAnsi" w:eastAsia="Times New Roman" w:hAnsiTheme="majorHAnsi" w:cs="Times New Roman"/>
          <w:kern w:val="0"/>
          <w:sz w:val="22"/>
          <w:szCs w:val="22"/>
          <w:lang w:eastAsia="fr-FR" w:bidi="ar-SA"/>
        </w:rPr>
      </w:pPr>
    </w:p>
    <w:sectPr w:rsidR="00B32AF9" w:rsidRPr="00B32AF9" w:rsidSect="006940E3">
      <w:type w:val="continuous"/>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MS Mincho"/>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28E0881"/>
    <w:multiLevelType w:val="hybridMultilevel"/>
    <w:tmpl w:val="F1248974"/>
    <w:lvl w:ilvl="0" w:tplc="8B8E62A2">
      <w:start w:val="1"/>
      <w:numFmt w:val="bullet"/>
      <w:lvlText w:val="•"/>
      <w:lvlJc w:val="left"/>
      <w:pPr>
        <w:tabs>
          <w:tab w:val="num" w:pos="720"/>
        </w:tabs>
        <w:ind w:left="720" w:hanging="360"/>
      </w:pPr>
      <w:rPr>
        <w:rFonts w:ascii="Arial" w:hAnsi="Arial" w:hint="default"/>
      </w:rPr>
    </w:lvl>
    <w:lvl w:ilvl="1" w:tplc="4676854E" w:tentative="1">
      <w:start w:val="1"/>
      <w:numFmt w:val="bullet"/>
      <w:lvlText w:val="•"/>
      <w:lvlJc w:val="left"/>
      <w:pPr>
        <w:tabs>
          <w:tab w:val="num" w:pos="1440"/>
        </w:tabs>
        <w:ind w:left="1440" w:hanging="360"/>
      </w:pPr>
      <w:rPr>
        <w:rFonts w:ascii="Arial" w:hAnsi="Arial" w:hint="default"/>
      </w:rPr>
    </w:lvl>
    <w:lvl w:ilvl="2" w:tplc="A6E64022" w:tentative="1">
      <w:start w:val="1"/>
      <w:numFmt w:val="bullet"/>
      <w:lvlText w:val="•"/>
      <w:lvlJc w:val="left"/>
      <w:pPr>
        <w:tabs>
          <w:tab w:val="num" w:pos="2160"/>
        </w:tabs>
        <w:ind w:left="2160" w:hanging="360"/>
      </w:pPr>
      <w:rPr>
        <w:rFonts w:ascii="Arial" w:hAnsi="Arial" w:hint="default"/>
      </w:rPr>
    </w:lvl>
    <w:lvl w:ilvl="3" w:tplc="CB9CA37E" w:tentative="1">
      <w:start w:val="1"/>
      <w:numFmt w:val="bullet"/>
      <w:lvlText w:val="•"/>
      <w:lvlJc w:val="left"/>
      <w:pPr>
        <w:tabs>
          <w:tab w:val="num" w:pos="2880"/>
        </w:tabs>
        <w:ind w:left="2880" w:hanging="360"/>
      </w:pPr>
      <w:rPr>
        <w:rFonts w:ascii="Arial" w:hAnsi="Arial" w:hint="default"/>
      </w:rPr>
    </w:lvl>
    <w:lvl w:ilvl="4" w:tplc="9D5C7D32" w:tentative="1">
      <w:start w:val="1"/>
      <w:numFmt w:val="bullet"/>
      <w:lvlText w:val="•"/>
      <w:lvlJc w:val="left"/>
      <w:pPr>
        <w:tabs>
          <w:tab w:val="num" w:pos="3600"/>
        </w:tabs>
        <w:ind w:left="3600" w:hanging="360"/>
      </w:pPr>
      <w:rPr>
        <w:rFonts w:ascii="Arial" w:hAnsi="Arial" w:hint="default"/>
      </w:rPr>
    </w:lvl>
    <w:lvl w:ilvl="5" w:tplc="4E4E9266" w:tentative="1">
      <w:start w:val="1"/>
      <w:numFmt w:val="bullet"/>
      <w:lvlText w:val="•"/>
      <w:lvlJc w:val="left"/>
      <w:pPr>
        <w:tabs>
          <w:tab w:val="num" w:pos="4320"/>
        </w:tabs>
        <w:ind w:left="4320" w:hanging="360"/>
      </w:pPr>
      <w:rPr>
        <w:rFonts w:ascii="Arial" w:hAnsi="Arial" w:hint="default"/>
      </w:rPr>
    </w:lvl>
    <w:lvl w:ilvl="6" w:tplc="F1364F5E" w:tentative="1">
      <w:start w:val="1"/>
      <w:numFmt w:val="bullet"/>
      <w:lvlText w:val="•"/>
      <w:lvlJc w:val="left"/>
      <w:pPr>
        <w:tabs>
          <w:tab w:val="num" w:pos="5040"/>
        </w:tabs>
        <w:ind w:left="5040" w:hanging="360"/>
      </w:pPr>
      <w:rPr>
        <w:rFonts w:ascii="Arial" w:hAnsi="Arial" w:hint="default"/>
      </w:rPr>
    </w:lvl>
    <w:lvl w:ilvl="7" w:tplc="48AC8488" w:tentative="1">
      <w:start w:val="1"/>
      <w:numFmt w:val="bullet"/>
      <w:lvlText w:val="•"/>
      <w:lvlJc w:val="left"/>
      <w:pPr>
        <w:tabs>
          <w:tab w:val="num" w:pos="5760"/>
        </w:tabs>
        <w:ind w:left="5760" w:hanging="360"/>
      </w:pPr>
      <w:rPr>
        <w:rFonts w:ascii="Arial" w:hAnsi="Arial" w:hint="default"/>
      </w:rPr>
    </w:lvl>
    <w:lvl w:ilvl="8" w:tplc="B5BC8A26" w:tentative="1">
      <w:start w:val="1"/>
      <w:numFmt w:val="bullet"/>
      <w:lvlText w:val="•"/>
      <w:lvlJc w:val="left"/>
      <w:pPr>
        <w:tabs>
          <w:tab w:val="num" w:pos="6480"/>
        </w:tabs>
        <w:ind w:left="6480" w:hanging="360"/>
      </w:pPr>
      <w:rPr>
        <w:rFonts w:ascii="Arial" w:hAnsi="Arial" w:hint="default"/>
      </w:rPr>
    </w:lvl>
  </w:abstractNum>
  <w:abstractNum w:abstractNumId="2">
    <w:nsid w:val="5351015A"/>
    <w:multiLevelType w:val="hybridMultilevel"/>
    <w:tmpl w:val="668A1CAC"/>
    <w:lvl w:ilvl="0" w:tplc="C5328C5E">
      <w:start w:val="1"/>
      <w:numFmt w:val="bullet"/>
      <w:lvlText w:val=""/>
      <w:lvlJc w:val="left"/>
      <w:pPr>
        <w:ind w:left="180" w:hanging="360"/>
      </w:pPr>
      <w:rPr>
        <w:rFonts w:ascii="Symbol" w:eastAsia="Times New Roman" w:hAnsi="Symbol" w:cs="Times New Roman" w:hint="default"/>
        <w:sz w:val="22"/>
      </w:rPr>
    </w:lvl>
    <w:lvl w:ilvl="1" w:tplc="040C0003" w:tentative="1">
      <w:start w:val="1"/>
      <w:numFmt w:val="bullet"/>
      <w:lvlText w:val="o"/>
      <w:lvlJc w:val="left"/>
      <w:pPr>
        <w:ind w:left="900" w:hanging="360"/>
      </w:pPr>
      <w:rPr>
        <w:rFonts w:ascii="Courier New" w:hAnsi="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3">
    <w:nsid w:val="6D4009CE"/>
    <w:multiLevelType w:val="hybridMultilevel"/>
    <w:tmpl w:val="A8B6F6FC"/>
    <w:lvl w:ilvl="0" w:tplc="EE12AA08">
      <w:start w:val="1"/>
      <w:numFmt w:val="bullet"/>
      <w:lvlText w:val=""/>
      <w:lvlJc w:val="left"/>
      <w:pPr>
        <w:tabs>
          <w:tab w:val="num" w:pos="720"/>
        </w:tabs>
        <w:ind w:left="720" w:hanging="360"/>
      </w:pPr>
      <w:rPr>
        <w:rFonts w:ascii="Wingdings" w:hAnsi="Wingdings" w:hint="default"/>
      </w:rPr>
    </w:lvl>
    <w:lvl w:ilvl="1" w:tplc="92D438BC" w:tentative="1">
      <w:start w:val="1"/>
      <w:numFmt w:val="bullet"/>
      <w:lvlText w:val=""/>
      <w:lvlJc w:val="left"/>
      <w:pPr>
        <w:tabs>
          <w:tab w:val="num" w:pos="1440"/>
        </w:tabs>
        <w:ind w:left="1440" w:hanging="360"/>
      </w:pPr>
      <w:rPr>
        <w:rFonts w:ascii="Wingdings" w:hAnsi="Wingdings" w:hint="default"/>
      </w:rPr>
    </w:lvl>
    <w:lvl w:ilvl="2" w:tplc="DCE85E18" w:tentative="1">
      <w:start w:val="1"/>
      <w:numFmt w:val="bullet"/>
      <w:lvlText w:val=""/>
      <w:lvlJc w:val="left"/>
      <w:pPr>
        <w:tabs>
          <w:tab w:val="num" w:pos="2160"/>
        </w:tabs>
        <w:ind w:left="2160" w:hanging="360"/>
      </w:pPr>
      <w:rPr>
        <w:rFonts w:ascii="Wingdings" w:hAnsi="Wingdings" w:hint="default"/>
      </w:rPr>
    </w:lvl>
    <w:lvl w:ilvl="3" w:tplc="2A6862C8" w:tentative="1">
      <w:start w:val="1"/>
      <w:numFmt w:val="bullet"/>
      <w:lvlText w:val=""/>
      <w:lvlJc w:val="left"/>
      <w:pPr>
        <w:tabs>
          <w:tab w:val="num" w:pos="2880"/>
        </w:tabs>
        <w:ind w:left="2880" w:hanging="360"/>
      </w:pPr>
      <w:rPr>
        <w:rFonts w:ascii="Wingdings" w:hAnsi="Wingdings" w:hint="default"/>
      </w:rPr>
    </w:lvl>
    <w:lvl w:ilvl="4" w:tplc="1D3AB8C8" w:tentative="1">
      <w:start w:val="1"/>
      <w:numFmt w:val="bullet"/>
      <w:lvlText w:val=""/>
      <w:lvlJc w:val="left"/>
      <w:pPr>
        <w:tabs>
          <w:tab w:val="num" w:pos="3600"/>
        </w:tabs>
        <w:ind w:left="3600" w:hanging="360"/>
      </w:pPr>
      <w:rPr>
        <w:rFonts w:ascii="Wingdings" w:hAnsi="Wingdings" w:hint="default"/>
      </w:rPr>
    </w:lvl>
    <w:lvl w:ilvl="5" w:tplc="68089C56" w:tentative="1">
      <w:start w:val="1"/>
      <w:numFmt w:val="bullet"/>
      <w:lvlText w:val=""/>
      <w:lvlJc w:val="left"/>
      <w:pPr>
        <w:tabs>
          <w:tab w:val="num" w:pos="4320"/>
        </w:tabs>
        <w:ind w:left="4320" w:hanging="360"/>
      </w:pPr>
      <w:rPr>
        <w:rFonts w:ascii="Wingdings" w:hAnsi="Wingdings" w:hint="default"/>
      </w:rPr>
    </w:lvl>
    <w:lvl w:ilvl="6" w:tplc="2B6E881E" w:tentative="1">
      <w:start w:val="1"/>
      <w:numFmt w:val="bullet"/>
      <w:lvlText w:val=""/>
      <w:lvlJc w:val="left"/>
      <w:pPr>
        <w:tabs>
          <w:tab w:val="num" w:pos="5040"/>
        </w:tabs>
        <w:ind w:left="5040" w:hanging="360"/>
      </w:pPr>
      <w:rPr>
        <w:rFonts w:ascii="Wingdings" w:hAnsi="Wingdings" w:hint="default"/>
      </w:rPr>
    </w:lvl>
    <w:lvl w:ilvl="7" w:tplc="6D0E1610" w:tentative="1">
      <w:start w:val="1"/>
      <w:numFmt w:val="bullet"/>
      <w:lvlText w:val=""/>
      <w:lvlJc w:val="left"/>
      <w:pPr>
        <w:tabs>
          <w:tab w:val="num" w:pos="5760"/>
        </w:tabs>
        <w:ind w:left="5760" w:hanging="360"/>
      </w:pPr>
      <w:rPr>
        <w:rFonts w:ascii="Wingdings" w:hAnsi="Wingdings" w:hint="default"/>
      </w:rPr>
    </w:lvl>
    <w:lvl w:ilvl="8" w:tplc="B172182A" w:tentative="1">
      <w:start w:val="1"/>
      <w:numFmt w:val="bullet"/>
      <w:lvlText w:val=""/>
      <w:lvlJc w:val="left"/>
      <w:pPr>
        <w:tabs>
          <w:tab w:val="num" w:pos="6480"/>
        </w:tabs>
        <w:ind w:left="6480" w:hanging="360"/>
      </w:pPr>
      <w:rPr>
        <w:rFonts w:ascii="Wingdings" w:hAnsi="Wingdings" w:hint="default"/>
      </w:rPr>
    </w:lvl>
  </w:abstractNum>
  <w:abstractNum w:abstractNumId="4">
    <w:nsid w:val="6EF74E32"/>
    <w:multiLevelType w:val="hybridMultilevel"/>
    <w:tmpl w:val="4EEE5F1A"/>
    <w:lvl w:ilvl="0" w:tplc="0784BDBC">
      <w:start w:val="1"/>
      <w:numFmt w:val="bullet"/>
      <w:lvlText w:val="•"/>
      <w:lvlJc w:val="left"/>
      <w:pPr>
        <w:tabs>
          <w:tab w:val="num" w:pos="720"/>
        </w:tabs>
        <w:ind w:left="720" w:hanging="360"/>
      </w:pPr>
      <w:rPr>
        <w:rFonts w:ascii="Arial" w:hAnsi="Arial" w:hint="default"/>
      </w:rPr>
    </w:lvl>
    <w:lvl w:ilvl="1" w:tplc="8E2C96AE" w:tentative="1">
      <w:start w:val="1"/>
      <w:numFmt w:val="bullet"/>
      <w:lvlText w:val="•"/>
      <w:lvlJc w:val="left"/>
      <w:pPr>
        <w:tabs>
          <w:tab w:val="num" w:pos="1440"/>
        </w:tabs>
        <w:ind w:left="1440" w:hanging="360"/>
      </w:pPr>
      <w:rPr>
        <w:rFonts w:ascii="Arial" w:hAnsi="Arial" w:hint="default"/>
      </w:rPr>
    </w:lvl>
    <w:lvl w:ilvl="2" w:tplc="3D6237D4" w:tentative="1">
      <w:start w:val="1"/>
      <w:numFmt w:val="bullet"/>
      <w:lvlText w:val="•"/>
      <w:lvlJc w:val="left"/>
      <w:pPr>
        <w:tabs>
          <w:tab w:val="num" w:pos="2160"/>
        </w:tabs>
        <w:ind w:left="2160" w:hanging="360"/>
      </w:pPr>
      <w:rPr>
        <w:rFonts w:ascii="Arial" w:hAnsi="Arial" w:hint="default"/>
      </w:rPr>
    </w:lvl>
    <w:lvl w:ilvl="3" w:tplc="40906476" w:tentative="1">
      <w:start w:val="1"/>
      <w:numFmt w:val="bullet"/>
      <w:lvlText w:val="•"/>
      <w:lvlJc w:val="left"/>
      <w:pPr>
        <w:tabs>
          <w:tab w:val="num" w:pos="2880"/>
        </w:tabs>
        <w:ind w:left="2880" w:hanging="360"/>
      </w:pPr>
      <w:rPr>
        <w:rFonts w:ascii="Arial" w:hAnsi="Arial" w:hint="default"/>
      </w:rPr>
    </w:lvl>
    <w:lvl w:ilvl="4" w:tplc="654C6AD2" w:tentative="1">
      <w:start w:val="1"/>
      <w:numFmt w:val="bullet"/>
      <w:lvlText w:val="•"/>
      <w:lvlJc w:val="left"/>
      <w:pPr>
        <w:tabs>
          <w:tab w:val="num" w:pos="3600"/>
        </w:tabs>
        <w:ind w:left="3600" w:hanging="360"/>
      </w:pPr>
      <w:rPr>
        <w:rFonts w:ascii="Arial" w:hAnsi="Arial" w:hint="default"/>
      </w:rPr>
    </w:lvl>
    <w:lvl w:ilvl="5" w:tplc="976C7FF4" w:tentative="1">
      <w:start w:val="1"/>
      <w:numFmt w:val="bullet"/>
      <w:lvlText w:val="•"/>
      <w:lvlJc w:val="left"/>
      <w:pPr>
        <w:tabs>
          <w:tab w:val="num" w:pos="4320"/>
        </w:tabs>
        <w:ind w:left="4320" w:hanging="360"/>
      </w:pPr>
      <w:rPr>
        <w:rFonts w:ascii="Arial" w:hAnsi="Arial" w:hint="default"/>
      </w:rPr>
    </w:lvl>
    <w:lvl w:ilvl="6" w:tplc="4A0E6DE4" w:tentative="1">
      <w:start w:val="1"/>
      <w:numFmt w:val="bullet"/>
      <w:lvlText w:val="•"/>
      <w:lvlJc w:val="left"/>
      <w:pPr>
        <w:tabs>
          <w:tab w:val="num" w:pos="5040"/>
        </w:tabs>
        <w:ind w:left="5040" w:hanging="360"/>
      </w:pPr>
      <w:rPr>
        <w:rFonts w:ascii="Arial" w:hAnsi="Arial" w:hint="default"/>
      </w:rPr>
    </w:lvl>
    <w:lvl w:ilvl="7" w:tplc="67663A10" w:tentative="1">
      <w:start w:val="1"/>
      <w:numFmt w:val="bullet"/>
      <w:lvlText w:val="•"/>
      <w:lvlJc w:val="left"/>
      <w:pPr>
        <w:tabs>
          <w:tab w:val="num" w:pos="5760"/>
        </w:tabs>
        <w:ind w:left="5760" w:hanging="360"/>
      </w:pPr>
      <w:rPr>
        <w:rFonts w:ascii="Arial" w:hAnsi="Arial" w:hint="default"/>
      </w:rPr>
    </w:lvl>
    <w:lvl w:ilvl="8" w:tplc="07967466" w:tentative="1">
      <w:start w:val="1"/>
      <w:numFmt w:val="bullet"/>
      <w:lvlText w:val="•"/>
      <w:lvlJc w:val="left"/>
      <w:pPr>
        <w:tabs>
          <w:tab w:val="num" w:pos="6480"/>
        </w:tabs>
        <w:ind w:left="6480" w:hanging="360"/>
      </w:pPr>
      <w:rPr>
        <w:rFonts w:ascii="Arial" w:hAnsi="Arial" w:hint="default"/>
      </w:rPr>
    </w:lvl>
  </w:abstractNum>
  <w:abstractNum w:abstractNumId="5">
    <w:nsid w:val="7772353E"/>
    <w:multiLevelType w:val="hybridMultilevel"/>
    <w:tmpl w:val="1206B2CC"/>
    <w:lvl w:ilvl="0" w:tplc="C5328C5E">
      <w:start w:val="1"/>
      <w:numFmt w:val="bullet"/>
      <w:lvlText w:val=""/>
      <w:lvlJc w:val="left"/>
      <w:pPr>
        <w:ind w:left="464" w:hanging="360"/>
      </w:pPr>
      <w:rPr>
        <w:rFonts w:ascii="Symbol" w:eastAsia="Times New Roman" w:hAnsi="Symbol" w:cs="Times New Roman" w:hint="default"/>
        <w:sz w:val="22"/>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7C312AE2"/>
    <w:multiLevelType w:val="hybridMultilevel"/>
    <w:tmpl w:val="D4A67FCA"/>
    <w:lvl w:ilvl="0" w:tplc="E856B498">
      <w:start w:val="1"/>
      <w:numFmt w:val="bullet"/>
      <w:lvlText w:val=""/>
      <w:lvlJc w:val="left"/>
      <w:pPr>
        <w:tabs>
          <w:tab w:val="num" w:pos="720"/>
        </w:tabs>
        <w:ind w:left="720" w:hanging="360"/>
      </w:pPr>
      <w:rPr>
        <w:rFonts w:ascii="Wingdings" w:hAnsi="Wingdings" w:hint="default"/>
      </w:rPr>
    </w:lvl>
    <w:lvl w:ilvl="1" w:tplc="CD34CECA" w:tentative="1">
      <w:start w:val="1"/>
      <w:numFmt w:val="bullet"/>
      <w:lvlText w:val=""/>
      <w:lvlJc w:val="left"/>
      <w:pPr>
        <w:tabs>
          <w:tab w:val="num" w:pos="1440"/>
        </w:tabs>
        <w:ind w:left="1440" w:hanging="360"/>
      </w:pPr>
      <w:rPr>
        <w:rFonts w:ascii="Wingdings" w:hAnsi="Wingdings" w:hint="default"/>
      </w:rPr>
    </w:lvl>
    <w:lvl w:ilvl="2" w:tplc="BFA46A90" w:tentative="1">
      <w:start w:val="1"/>
      <w:numFmt w:val="bullet"/>
      <w:lvlText w:val=""/>
      <w:lvlJc w:val="left"/>
      <w:pPr>
        <w:tabs>
          <w:tab w:val="num" w:pos="2160"/>
        </w:tabs>
        <w:ind w:left="2160" w:hanging="360"/>
      </w:pPr>
      <w:rPr>
        <w:rFonts w:ascii="Wingdings" w:hAnsi="Wingdings" w:hint="default"/>
      </w:rPr>
    </w:lvl>
    <w:lvl w:ilvl="3" w:tplc="6DEC5CCA" w:tentative="1">
      <w:start w:val="1"/>
      <w:numFmt w:val="bullet"/>
      <w:lvlText w:val=""/>
      <w:lvlJc w:val="left"/>
      <w:pPr>
        <w:tabs>
          <w:tab w:val="num" w:pos="2880"/>
        </w:tabs>
        <w:ind w:left="2880" w:hanging="360"/>
      </w:pPr>
      <w:rPr>
        <w:rFonts w:ascii="Wingdings" w:hAnsi="Wingdings" w:hint="default"/>
      </w:rPr>
    </w:lvl>
    <w:lvl w:ilvl="4" w:tplc="46A0BFDA" w:tentative="1">
      <w:start w:val="1"/>
      <w:numFmt w:val="bullet"/>
      <w:lvlText w:val=""/>
      <w:lvlJc w:val="left"/>
      <w:pPr>
        <w:tabs>
          <w:tab w:val="num" w:pos="3600"/>
        </w:tabs>
        <w:ind w:left="3600" w:hanging="360"/>
      </w:pPr>
      <w:rPr>
        <w:rFonts w:ascii="Wingdings" w:hAnsi="Wingdings" w:hint="default"/>
      </w:rPr>
    </w:lvl>
    <w:lvl w:ilvl="5" w:tplc="8C0E8674" w:tentative="1">
      <w:start w:val="1"/>
      <w:numFmt w:val="bullet"/>
      <w:lvlText w:val=""/>
      <w:lvlJc w:val="left"/>
      <w:pPr>
        <w:tabs>
          <w:tab w:val="num" w:pos="4320"/>
        </w:tabs>
        <w:ind w:left="4320" w:hanging="360"/>
      </w:pPr>
      <w:rPr>
        <w:rFonts w:ascii="Wingdings" w:hAnsi="Wingdings" w:hint="default"/>
      </w:rPr>
    </w:lvl>
    <w:lvl w:ilvl="6" w:tplc="A96AC4EC" w:tentative="1">
      <w:start w:val="1"/>
      <w:numFmt w:val="bullet"/>
      <w:lvlText w:val=""/>
      <w:lvlJc w:val="left"/>
      <w:pPr>
        <w:tabs>
          <w:tab w:val="num" w:pos="5040"/>
        </w:tabs>
        <w:ind w:left="5040" w:hanging="360"/>
      </w:pPr>
      <w:rPr>
        <w:rFonts w:ascii="Wingdings" w:hAnsi="Wingdings" w:hint="default"/>
      </w:rPr>
    </w:lvl>
    <w:lvl w:ilvl="7" w:tplc="129074C0" w:tentative="1">
      <w:start w:val="1"/>
      <w:numFmt w:val="bullet"/>
      <w:lvlText w:val=""/>
      <w:lvlJc w:val="left"/>
      <w:pPr>
        <w:tabs>
          <w:tab w:val="num" w:pos="5760"/>
        </w:tabs>
        <w:ind w:left="5760" w:hanging="360"/>
      </w:pPr>
      <w:rPr>
        <w:rFonts w:ascii="Wingdings" w:hAnsi="Wingdings" w:hint="default"/>
      </w:rPr>
    </w:lvl>
    <w:lvl w:ilvl="8" w:tplc="7EFE424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F0A"/>
    <w:rsid w:val="0002616E"/>
    <w:rsid w:val="00093441"/>
    <w:rsid w:val="001049B5"/>
    <w:rsid w:val="00135011"/>
    <w:rsid w:val="00156D1C"/>
    <w:rsid w:val="0021132D"/>
    <w:rsid w:val="002B4367"/>
    <w:rsid w:val="003143E6"/>
    <w:rsid w:val="00352758"/>
    <w:rsid w:val="003C1183"/>
    <w:rsid w:val="003F5F0A"/>
    <w:rsid w:val="00402C8D"/>
    <w:rsid w:val="00577B83"/>
    <w:rsid w:val="006652DF"/>
    <w:rsid w:val="006940E3"/>
    <w:rsid w:val="006D0668"/>
    <w:rsid w:val="00706A70"/>
    <w:rsid w:val="00761CB3"/>
    <w:rsid w:val="00765620"/>
    <w:rsid w:val="0082610F"/>
    <w:rsid w:val="00900748"/>
    <w:rsid w:val="00944BD4"/>
    <w:rsid w:val="00A6223F"/>
    <w:rsid w:val="00B32AF9"/>
    <w:rsid w:val="00BB7EC4"/>
    <w:rsid w:val="00BE5CFA"/>
    <w:rsid w:val="00BF110B"/>
    <w:rsid w:val="00C71A8D"/>
    <w:rsid w:val="00CA2AE6"/>
    <w:rsid w:val="00D30485"/>
    <w:rsid w:val="00E61646"/>
    <w:rsid w:val="00ED1B69"/>
    <w:rsid w:val="00F7464C"/>
    <w:rsid w:val="00FE36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2D6B9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Lucida Sans"/>
      <w:kern w:val="1"/>
      <w:sz w:val="24"/>
      <w:szCs w:val="24"/>
      <w:lang w:eastAsia="hi-IN" w:bidi="hi-IN"/>
    </w:rPr>
  </w:style>
  <w:style w:type="paragraph" w:styleId="Titre1">
    <w:name w:val="heading 1"/>
    <w:basedOn w:val="Titre10"/>
    <w:next w:val="Corpsdetexte"/>
    <w:qFormat/>
    <w:pPr>
      <w:numPr>
        <w:numId w:val="1"/>
      </w:numPr>
      <w:outlineLvl w:val="0"/>
    </w:pPr>
    <w:rPr>
      <w:rFonts w:ascii="Times New Roman" w:hAnsi="Times New Roman"/>
      <w:b/>
      <w:bCs/>
      <w:sz w:val="48"/>
      <w:szCs w:val="48"/>
    </w:rPr>
  </w:style>
  <w:style w:type="paragraph" w:styleId="Titre2">
    <w:name w:val="heading 2"/>
    <w:basedOn w:val="Titre10"/>
    <w:next w:val="Corpsdetexte"/>
    <w:qFormat/>
    <w:pPr>
      <w:numPr>
        <w:ilvl w:val="1"/>
        <w:numId w:val="1"/>
      </w:numPr>
      <w:outlineLvl w:val="1"/>
    </w:pPr>
    <w:rPr>
      <w:rFonts w:ascii="Times New Roman" w:hAnsi="Times New Roman"/>
      <w:b/>
      <w:bCs/>
      <w:sz w:val="36"/>
      <w:szCs w:val="36"/>
    </w:rPr>
  </w:style>
  <w:style w:type="paragraph" w:styleId="Titre3">
    <w:name w:val="heading 3"/>
    <w:basedOn w:val="Titre10"/>
    <w:next w:val="Corpsdetexte"/>
    <w:qFormat/>
    <w:pPr>
      <w:numPr>
        <w:ilvl w:val="2"/>
        <w:numId w:val="1"/>
      </w:numPr>
      <w:outlineLvl w:val="2"/>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extedebulles">
    <w:name w:val="Balloon Text"/>
    <w:basedOn w:val="Normal"/>
    <w:link w:val="TextedebullesCar"/>
    <w:uiPriority w:val="99"/>
    <w:semiHidden/>
    <w:unhideWhenUsed/>
    <w:rsid w:val="003F5F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F5F0A"/>
    <w:rPr>
      <w:rFonts w:ascii="Lucida Grande" w:eastAsia="SimSun" w:hAnsi="Lucida Grande" w:cs="Lucida Grande"/>
      <w:kern w:val="1"/>
      <w:sz w:val="18"/>
      <w:szCs w:val="18"/>
      <w:lang w:eastAsia="hi-IN" w:bidi="hi-IN"/>
    </w:rPr>
  </w:style>
  <w:style w:type="paragraph" w:styleId="PrformatHTML">
    <w:name w:val="HTML Preformatted"/>
    <w:basedOn w:val="Normal"/>
    <w:link w:val="PrformatHTMLCar"/>
    <w:uiPriority w:val="99"/>
    <w:semiHidden/>
    <w:unhideWhenUsed/>
    <w:rsid w:val="00BF11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eastAsia="Times New Roman" w:hAnsi="Courier" w:cs="Courier"/>
      <w:kern w:val="0"/>
      <w:sz w:val="20"/>
      <w:szCs w:val="20"/>
      <w:lang w:eastAsia="fr-FR" w:bidi="ar-SA"/>
    </w:rPr>
  </w:style>
  <w:style w:type="character" w:customStyle="1" w:styleId="PrformatHTMLCar">
    <w:name w:val="Préformaté HTML Car"/>
    <w:basedOn w:val="Policepardfaut"/>
    <w:link w:val="PrformatHTML"/>
    <w:uiPriority w:val="99"/>
    <w:semiHidden/>
    <w:rsid w:val="00BF110B"/>
    <w:rPr>
      <w:rFonts w:ascii="Courier" w:hAnsi="Courier" w:cs="Courier"/>
    </w:rPr>
  </w:style>
  <w:style w:type="paragraph" w:styleId="Paragraphedeliste">
    <w:name w:val="List Paragraph"/>
    <w:basedOn w:val="Normal"/>
    <w:uiPriority w:val="34"/>
    <w:qFormat/>
    <w:rsid w:val="00D30485"/>
    <w:pPr>
      <w:ind w:left="720"/>
      <w:contextualSpacing/>
    </w:pPr>
  </w:style>
  <w:style w:type="paragraph" w:styleId="NormalWeb">
    <w:name w:val="Normal (Web)"/>
    <w:basedOn w:val="Normal"/>
    <w:unhideWhenUsed/>
    <w:rsid w:val="00D30485"/>
    <w:pPr>
      <w:widowControl/>
      <w:suppressAutoHyphens w:val="0"/>
      <w:spacing w:before="100" w:beforeAutospacing="1" w:after="100" w:afterAutospacing="1"/>
    </w:pPr>
    <w:rPr>
      <w:rFonts w:ascii="Times" w:eastAsia="Times New Roman" w:hAnsi="Times" w:cs="Times New Roman"/>
      <w:kern w:val="0"/>
      <w:sz w:val="20"/>
      <w:szCs w:val="20"/>
      <w:lang w:eastAsia="fr-FR" w:bidi="ar-SA"/>
    </w:rPr>
  </w:style>
  <w:style w:type="character" w:styleId="lev">
    <w:name w:val="Strong"/>
    <w:uiPriority w:val="22"/>
    <w:qFormat/>
    <w:rsid w:val="00B32AF9"/>
    <w:rPr>
      <w:b/>
      <w:bCs/>
    </w:rPr>
  </w:style>
  <w:style w:type="character" w:styleId="Accentuation">
    <w:name w:val="Emphasis"/>
    <w:uiPriority w:val="20"/>
    <w:qFormat/>
    <w:rsid w:val="00B32AF9"/>
    <w:rPr>
      <w:i/>
      <w:iCs/>
    </w:rPr>
  </w:style>
  <w:style w:type="table" w:styleId="Grilledutableau">
    <w:name w:val="Table Grid"/>
    <w:basedOn w:val="TableauNormal"/>
    <w:uiPriority w:val="59"/>
    <w:rsid w:val="007656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Lucida Sans"/>
      <w:kern w:val="1"/>
      <w:sz w:val="24"/>
      <w:szCs w:val="24"/>
      <w:lang w:eastAsia="hi-IN" w:bidi="hi-IN"/>
    </w:rPr>
  </w:style>
  <w:style w:type="paragraph" w:styleId="Titre1">
    <w:name w:val="heading 1"/>
    <w:basedOn w:val="Titre10"/>
    <w:next w:val="Corpsdetexte"/>
    <w:qFormat/>
    <w:pPr>
      <w:numPr>
        <w:numId w:val="1"/>
      </w:numPr>
      <w:outlineLvl w:val="0"/>
    </w:pPr>
    <w:rPr>
      <w:rFonts w:ascii="Times New Roman" w:hAnsi="Times New Roman"/>
      <w:b/>
      <w:bCs/>
      <w:sz w:val="48"/>
      <w:szCs w:val="48"/>
    </w:rPr>
  </w:style>
  <w:style w:type="paragraph" w:styleId="Titre2">
    <w:name w:val="heading 2"/>
    <w:basedOn w:val="Titre10"/>
    <w:next w:val="Corpsdetexte"/>
    <w:qFormat/>
    <w:pPr>
      <w:numPr>
        <w:ilvl w:val="1"/>
        <w:numId w:val="1"/>
      </w:numPr>
      <w:outlineLvl w:val="1"/>
    </w:pPr>
    <w:rPr>
      <w:rFonts w:ascii="Times New Roman" w:hAnsi="Times New Roman"/>
      <w:b/>
      <w:bCs/>
      <w:sz w:val="36"/>
      <w:szCs w:val="36"/>
    </w:rPr>
  </w:style>
  <w:style w:type="paragraph" w:styleId="Titre3">
    <w:name w:val="heading 3"/>
    <w:basedOn w:val="Titre10"/>
    <w:next w:val="Corpsdetexte"/>
    <w:qFormat/>
    <w:pPr>
      <w:numPr>
        <w:ilvl w:val="2"/>
        <w:numId w:val="1"/>
      </w:numPr>
      <w:outlineLvl w:val="2"/>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extedebulles">
    <w:name w:val="Balloon Text"/>
    <w:basedOn w:val="Normal"/>
    <w:link w:val="TextedebullesCar"/>
    <w:uiPriority w:val="99"/>
    <w:semiHidden/>
    <w:unhideWhenUsed/>
    <w:rsid w:val="003F5F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F5F0A"/>
    <w:rPr>
      <w:rFonts w:ascii="Lucida Grande" w:eastAsia="SimSun" w:hAnsi="Lucida Grande" w:cs="Lucida Grande"/>
      <w:kern w:val="1"/>
      <w:sz w:val="18"/>
      <w:szCs w:val="18"/>
      <w:lang w:eastAsia="hi-IN" w:bidi="hi-IN"/>
    </w:rPr>
  </w:style>
  <w:style w:type="paragraph" w:styleId="PrformatHTML">
    <w:name w:val="HTML Preformatted"/>
    <w:basedOn w:val="Normal"/>
    <w:link w:val="PrformatHTMLCar"/>
    <w:uiPriority w:val="99"/>
    <w:semiHidden/>
    <w:unhideWhenUsed/>
    <w:rsid w:val="00BF11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eastAsia="Times New Roman" w:hAnsi="Courier" w:cs="Courier"/>
      <w:kern w:val="0"/>
      <w:sz w:val="20"/>
      <w:szCs w:val="20"/>
      <w:lang w:eastAsia="fr-FR" w:bidi="ar-SA"/>
    </w:rPr>
  </w:style>
  <w:style w:type="character" w:customStyle="1" w:styleId="PrformatHTMLCar">
    <w:name w:val="Préformaté HTML Car"/>
    <w:basedOn w:val="Policepardfaut"/>
    <w:link w:val="PrformatHTML"/>
    <w:uiPriority w:val="99"/>
    <w:semiHidden/>
    <w:rsid w:val="00BF110B"/>
    <w:rPr>
      <w:rFonts w:ascii="Courier" w:hAnsi="Courier" w:cs="Courier"/>
    </w:rPr>
  </w:style>
  <w:style w:type="paragraph" w:styleId="Paragraphedeliste">
    <w:name w:val="List Paragraph"/>
    <w:basedOn w:val="Normal"/>
    <w:uiPriority w:val="34"/>
    <w:qFormat/>
    <w:rsid w:val="00D30485"/>
    <w:pPr>
      <w:ind w:left="720"/>
      <w:contextualSpacing/>
    </w:pPr>
  </w:style>
  <w:style w:type="paragraph" w:styleId="NormalWeb">
    <w:name w:val="Normal (Web)"/>
    <w:basedOn w:val="Normal"/>
    <w:unhideWhenUsed/>
    <w:rsid w:val="00D30485"/>
    <w:pPr>
      <w:widowControl/>
      <w:suppressAutoHyphens w:val="0"/>
      <w:spacing w:before="100" w:beforeAutospacing="1" w:after="100" w:afterAutospacing="1"/>
    </w:pPr>
    <w:rPr>
      <w:rFonts w:ascii="Times" w:eastAsia="Times New Roman" w:hAnsi="Times" w:cs="Times New Roman"/>
      <w:kern w:val="0"/>
      <w:sz w:val="20"/>
      <w:szCs w:val="20"/>
      <w:lang w:eastAsia="fr-FR" w:bidi="ar-SA"/>
    </w:rPr>
  </w:style>
  <w:style w:type="character" w:styleId="lev">
    <w:name w:val="Strong"/>
    <w:uiPriority w:val="22"/>
    <w:qFormat/>
    <w:rsid w:val="00B32AF9"/>
    <w:rPr>
      <w:b/>
      <w:bCs/>
    </w:rPr>
  </w:style>
  <w:style w:type="character" w:styleId="Accentuation">
    <w:name w:val="Emphasis"/>
    <w:uiPriority w:val="20"/>
    <w:qFormat/>
    <w:rsid w:val="00B32AF9"/>
    <w:rPr>
      <w:i/>
      <w:iCs/>
    </w:rPr>
  </w:style>
  <w:style w:type="table" w:styleId="Grilledutableau">
    <w:name w:val="Table Grid"/>
    <w:basedOn w:val="TableauNormal"/>
    <w:uiPriority w:val="59"/>
    <w:rsid w:val="007656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8868">
      <w:bodyDiv w:val="1"/>
      <w:marLeft w:val="0"/>
      <w:marRight w:val="0"/>
      <w:marTop w:val="0"/>
      <w:marBottom w:val="0"/>
      <w:divBdr>
        <w:top w:val="none" w:sz="0" w:space="0" w:color="auto"/>
        <w:left w:val="none" w:sz="0" w:space="0" w:color="auto"/>
        <w:bottom w:val="none" w:sz="0" w:space="0" w:color="auto"/>
        <w:right w:val="none" w:sz="0" w:space="0" w:color="auto"/>
      </w:divBdr>
    </w:div>
    <w:div w:id="531772931">
      <w:bodyDiv w:val="1"/>
      <w:marLeft w:val="0"/>
      <w:marRight w:val="0"/>
      <w:marTop w:val="0"/>
      <w:marBottom w:val="0"/>
      <w:divBdr>
        <w:top w:val="none" w:sz="0" w:space="0" w:color="auto"/>
        <w:left w:val="none" w:sz="0" w:space="0" w:color="auto"/>
        <w:bottom w:val="none" w:sz="0" w:space="0" w:color="auto"/>
        <w:right w:val="none" w:sz="0" w:space="0" w:color="auto"/>
      </w:divBdr>
    </w:div>
    <w:div w:id="705762298">
      <w:bodyDiv w:val="1"/>
      <w:marLeft w:val="0"/>
      <w:marRight w:val="0"/>
      <w:marTop w:val="0"/>
      <w:marBottom w:val="0"/>
      <w:divBdr>
        <w:top w:val="none" w:sz="0" w:space="0" w:color="auto"/>
        <w:left w:val="none" w:sz="0" w:space="0" w:color="auto"/>
        <w:bottom w:val="none" w:sz="0" w:space="0" w:color="auto"/>
        <w:right w:val="none" w:sz="0" w:space="0" w:color="auto"/>
      </w:divBdr>
      <w:divsChild>
        <w:div w:id="65733685">
          <w:marLeft w:val="446"/>
          <w:marRight w:val="0"/>
          <w:marTop w:val="0"/>
          <w:marBottom w:val="0"/>
          <w:divBdr>
            <w:top w:val="none" w:sz="0" w:space="0" w:color="auto"/>
            <w:left w:val="none" w:sz="0" w:space="0" w:color="auto"/>
            <w:bottom w:val="none" w:sz="0" w:space="0" w:color="auto"/>
            <w:right w:val="none" w:sz="0" w:space="0" w:color="auto"/>
          </w:divBdr>
        </w:div>
        <w:div w:id="655761049">
          <w:marLeft w:val="446"/>
          <w:marRight w:val="0"/>
          <w:marTop w:val="0"/>
          <w:marBottom w:val="0"/>
          <w:divBdr>
            <w:top w:val="none" w:sz="0" w:space="0" w:color="auto"/>
            <w:left w:val="none" w:sz="0" w:space="0" w:color="auto"/>
            <w:bottom w:val="none" w:sz="0" w:space="0" w:color="auto"/>
            <w:right w:val="none" w:sz="0" w:space="0" w:color="auto"/>
          </w:divBdr>
        </w:div>
        <w:div w:id="1859081656">
          <w:marLeft w:val="446"/>
          <w:marRight w:val="0"/>
          <w:marTop w:val="0"/>
          <w:marBottom w:val="0"/>
          <w:divBdr>
            <w:top w:val="none" w:sz="0" w:space="0" w:color="auto"/>
            <w:left w:val="none" w:sz="0" w:space="0" w:color="auto"/>
            <w:bottom w:val="none" w:sz="0" w:space="0" w:color="auto"/>
            <w:right w:val="none" w:sz="0" w:space="0" w:color="auto"/>
          </w:divBdr>
        </w:div>
        <w:div w:id="1742756271">
          <w:marLeft w:val="446"/>
          <w:marRight w:val="0"/>
          <w:marTop w:val="0"/>
          <w:marBottom w:val="0"/>
          <w:divBdr>
            <w:top w:val="none" w:sz="0" w:space="0" w:color="auto"/>
            <w:left w:val="none" w:sz="0" w:space="0" w:color="auto"/>
            <w:bottom w:val="none" w:sz="0" w:space="0" w:color="auto"/>
            <w:right w:val="none" w:sz="0" w:space="0" w:color="auto"/>
          </w:divBdr>
        </w:div>
        <w:div w:id="1619143030">
          <w:marLeft w:val="446"/>
          <w:marRight w:val="0"/>
          <w:marTop w:val="0"/>
          <w:marBottom w:val="0"/>
          <w:divBdr>
            <w:top w:val="none" w:sz="0" w:space="0" w:color="auto"/>
            <w:left w:val="none" w:sz="0" w:space="0" w:color="auto"/>
            <w:bottom w:val="none" w:sz="0" w:space="0" w:color="auto"/>
            <w:right w:val="none" w:sz="0" w:space="0" w:color="auto"/>
          </w:divBdr>
        </w:div>
      </w:divsChild>
    </w:div>
    <w:div w:id="970596092">
      <w:bodyDiv w:val="1"/>
      <w:marLeft w:val="0"/>
      <w:marRight w:val="0"/>
      <w:marTop w:val="0"/>
      <w:marBottom w:val="0"/>
      <w:divBdr>
        <w:top w:val="none" w:sz="0" w:space="0" w:color="auto"/>
        <w:left w:val="none" w:sz="0" w:space="0" w:color="auto"/>
        <w:bottom w:val="none" w:sz="0" w:space="0" w:color="auto"/>
        <w:right w:val="none" w:sz="0" w:space="0" w:color="auto"/>
      </w:divBdr>
    </w:div>
    <w:div w:id="1110392356">
      <w:bodyDiv w:val="1"/>
      <w:marLeft w:val="0"/>
      <w:marRight w:val="0"/>
      <w:marTop w:val="0"/>
      <w:marBottom w:val="0"/>
      <w:divBdr>
        <w:top w:val="none" w:sz="0" w:space="0" w:color="auto"/>
        <w:left w:val="none" w:sz="0" w:space="0" w:color="auto"/>
        <w:bottom w:val="none" w:sz="0" w:space="0" w:color="auto"/>
        <w:right w:val="none" w:sz="0" w:space="0" w:color="auto"/>
      </w:divBdr>
    </w:div>
    <w:div w:id="1443114472">
      <w:bodyDiv w:val="1"/>
      <w:marLeft w:val="0"/>
      <w:marRight w:val="0"/>
      <w:marTop w:val="0"/>
      <w:marBottom w:val="0"/>
      <w:divBdr>
        <w:top w:val="none" w:sz="0" w:space="0" w:color="auto"/>
        <w:left w:val="none" w:sz="0" w:space="0" w:color="auto"/>
        <w:bottom w:val="none" w:sz="0" w:space="0" w:color="auto"/>
        <w:right w:val="none" w:sz="0" w:space="0" w:color="auto"/>
      </w:divBdr>
    </w:div>
    <w:div w:id="1526090615">
      <w:bodyDiv w:val="1"/>
      <w:marLeft w:val="0"/>
      <w:marRight w:val="0"/>
      <w:marTop w:val="0"/>
      <w:marBottom w:val="0"/>
      <w:divBdr>
        <w:top w:val="none" w:sz="0" w:space="0" w:color="auto"/>
        <w:left w:val="none" w:sz="0" w:space="0" w:color="auto"/>
        <w:bottom w:val="none" w:sz="0" w:space="0" w:color="auto"/>
        <w:right w:val="none" w:sz="0" w:space="0" w:color="auto"/>
      </w:divBdr>
    </w:div>
    <w:div w:id="1559172842">
      <w:bodyDiv w:val="1"/>
      <w:marLeft w:val="0"/>
      <w:marRight w:val="0"/>
      <w:marTop w:val="0"/>
      <w:marBottom w:val="0"/>
      <w:divBdr>
        <w:top w:val="none" w:sz="0" w:space="0" w:color="auto"/>
        <w:left w:val="none" w:sz="0" w:space="0" w:color="auto"/>
        <w:bottom w:val="none" w:sz="0" w:space="0" w:color="auto"/>
        <w:right w:val="none" w:sz="0" w:space="0" w:color="auto"/>
      </w:divBdr>
    </w:div>
    <w:div w:id="1711101105">
      <w:bodyDiv w:val="1"/>
      <w:marLeft w:val="0"/>
      <w:marRight w:val="0"/>
      <w:marTop w:val="0"/>
      <w:marBottom w:val="0"/>
      <w:divBdr>
        <w:top w:val="none" w:sz="0" w:space="0" w:color="auto"/>
        <w:left w:val="none" w:sz="0" w:space="0" w:color="auto"/>
        <w:bottom w:val="none" w:sz="0" w:space="0" w:color="auto"/>
        <w:right w:val="none" w:sz="0" w:space="0" w:color="auto"/>
      </w:divBdr>
    </w:div>
    <w:div w:id="1853110091">
      <w:bodyDiv w:val="1"/>
      <w:marLeft w:val="0"/>
      <w:marRight w:val="0"/>
      <w:marTop w:val="0"/>
      <w:marBottom w:val="0"/>
      <w:divBdr>
        <w:top w:val="none" w:sz="0" w:space="0" w:color="auto"/>
        <w:left w:val="none" w:sz="0" w:space="0" w:color="auto"/>
        <w:bottom w:val="none" w:sz="0" w:space="0" w:color="auto"/>
        <w:right w:val="none" w:sz="0" w:space="0" w:color="auto"/>
      </w:divBdr>
    </w:div>
    <w:div w:id="2008433749">
      <w:bodyDiv w:val="1"/>
      <w:marLeft w:val="0"/>
      <w:marRight w:val="0"/>
      <w:marTop w:val="0"/>
      <w:marBottom w:val="0"/>
      <w:divBdr>
        <w:top w:val="none" w:sz="0" w:space="0" w:color="auto"/>
        <w:left w:val="none" w:sz="0" w:space="0" w:color="auto"/>
        <w:bottom w:val="none" w:sz="0" w:space="0" w:color="auto"/>
        <w:right w:val="none" w:sz="0" w:space="0" w:color="auto"/>
      </w:divBdr>
    </w:div>
    <w:div w:id="2014910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mailto:nadia.bertin@avignon.inra.fr" TargetMode="External"/><Relationship Id="rId11" Type="http://schemas.openxmlformats.org/officeDocument/2006/relationships/hyperlink" Target="http://link.springer.com/article/10.1007/s00122-015-2635-5/fulltext.html"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se\Documents\THESE%20TOMATE%20AVIGNON%20save%20DECEMBRE2015\ARTICLE%20GWA\aov%20nested\Anova%20nes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100"/>
              <a:t>Proportion</a:t>
            </a:r>
            <a:r>
              <a:rPr lang="fr-FR" sz="1100" baseline="0"/>
              <a:t> des différents facteurs dans la somme des carrés des écarts</a:t>
            </a:r>
            <a:endParaRPr lang="fr-FR" sz="1100"/>
          </a:p>
        </c:rich>
      </c:tx>
      <c:overlay val="0"/>
    </c:title>
    <c:autoTitleDeleted val="0"/>
    <c:plotArea>
      <c:layout/>
      <c:areaChart>
        <c:grouping val="percentStacked"/>
        <c:varyColors val="0"/>
        <c:ser>
          <c:idx val="0"/>
          <c:order val="0"/>
          <c:tx>
            <c:strRef>
              <c:f>Feuil2!$B$1</c:f>
              <c:strCache>
                <c:ptCount val="1"/>
                <c:pt idx="0">
                  <c:v>SS W </c:v>
                </c:pt>
              </c:strCache>
            </c:strRef>
          </c:tx>
          <c:cat>
            <c:strRef>
              <c:f>Feuil2!$A$2:$A$22</c:f>
              <c:strCache>
                <c:ptCount val="21"/>
                <c:pt idx="0">
                  <c:v>Flw.Avi</c:v>
                </c:pt>
                <c:pt idx="1">
                  <c:v>Flw.Aga</c:v>
                </c:pt>
                <c:pt idx="2">
                  <c:v>Diam.Avi</c:v>
                </c:pt>
                <c:pt idx="3">
                  <c:v>Diam.Aga </c:v>
                </c:pt>
                <c:pt idx="4">
                  <c:v>Leaf.Avi</c:v>
                </c:pt>
                <c:pt idx="5">
                  <c:v>Leaf.Aga </c:v>
                </c:pt>
                <c:pt idx="6">
                  <c:v>Ht.Avi  </c:v>
                </c:pt>
                <c:pt idx="7">
                  <c:v>Ht.Aga </c:v>
                </c:pt>
                <c:pt idx="8">
                  <c:v>Nbfruits.Avi </c:v>
                </c:pt>
                <c:pt idx="9">
                  <c:v>FW.Avi </c:v>
                </c:pt>
                <c:pt idx="10">
                  <c:v>FW.Aga </c:v>
                </c:pt>
                <c:pt idx="11">
                  <c:v>FIR.Avi</c:v>
                </c:pt>
                <c:pt idx="12">
                  <c:v>FIR.Aga </c:v>
                </c:pt>
                <c:pt idx="13">
                  <c:v>DMW.Avi</c:v>
                </c:pt>
                <c:pt idx="14">
                  <c:v>pH.Avi</c:v>
                </c:pt>
                <c:pt idx="15">
                  <c:v>SSC.Avi</c:v>
                </c:pt>
                <c:pt idx="16">
                  <c:v>VitCFM.Avi </c:v>
                </c:pt>
                <c:pt idx="17">
                  <c:v>CitricFM.Avi</c:v>
                </c:pt>
                <c:pt idx="18">
                  <c:v>MalicFM.Avi </c:v>
                </c:pt>
                <c:pt idx="19">
                  <c:v>GlucoseFM.Avi</c:v>
                </c:pt>
                <c:pt idx="20">
                  <c:v>FructoseFM.Avi</c:v>
                </c:pt>
              </c:strCache>
            </c:strRef>
          </c:cat>
          <c:val>
            <c:numRef>
              <c:f>Feuil2!$B$2:$B$22</c:f>
              <c:numCache>
                <c:formatCode>General</c:formatCode>
                <c:ptCount val="21"/>
                <c:pt idx="0">
                  <c:v>0.03</c:v>
                </c:pt>
                <c:pt idx="1">
                  <c:v>0.24</c:v>
                </c:pt>
                <c:pt idx="2">
                  <c:v>48.09</c:v>
                </c:pt>
                <c:pt idx="3">
                  <c:v>55.47</c:v>
                </c:pt>
                <c:pt idx="4">
                  <c:v>28.12</c:v>
                </c:pt>
                <c:pt idx="5">
                  <c:v>61.48</c:v>
                </c:pt>
                <c:pt idx="6">
                  <c:v>2.38</c:v>
                </c:pt>
                <c:pt idx="7">
                  <c:v>1.38</c:v>
                </c:pt>
                <c:pt idx="8">
                  <c:v>0.05</c:v>
                </c:pt>
                <c:pt idx="9">
                  <c:v>0.61</c:v>
                </c:pt>
                <c:pt idx="10">
                  <c:v>2.91</c:v>
                </c:pt>
                <c:pt idx="11">
                  <c:v>0.02</c:v>
                </c:pt>
                <c:pt idx="12">
                  <c:v>0.59</c:v>
                </c:pt>
                <c:pt idx="13">
                  <c:v>6.48</c:v>
                </c:pt>
                <c:pt idx="14">
                  <c:v>1.1599999999999999</c:v>
                </c:pt>
                <c:pt idx="15">
                  <c:v>8.74</c:v>
                </c:pt>
                <c:pt idx="16">
                  <c:v>4</c:v>
                </c:pt>
                <c:pt idx="17">
                  <c:v>2.87</c:v>
                </c:pt>
                <c:pt idx="18">
                  <c:v>0.15</c:v>
                </c:pt>
                <c:pt idx="19">
                  <c:v>3.93</c:v>
                </c:pt>
                <c:pt idx="20">
                  <c:v>6.4</c:v>
                </c:pt>
              </c:numCache>
            </c:numRef>
          </c:val>
        </c:ser>
        <c:ser>
          <c:idx val="1"/>
          <c:order val="1"/>
          <c:tx>
            <c:strRef>
              <c:f>Feuil2!$C$1</c:f>
              <c:strCache>
                <c:ptCount val="1"/>
                <c:pt idx="0">
                  <c:v>SS Gr </c:v>
                </c:pt>
              </c:strCache>
            </c:strRef>
          </c:tx>
          <c:cat>
            <c:strRef>
              <c:f>Feuil2!$A$2:$A$22</c:f>
              <c:strCache>
                <c:ptCount val="21"/>
                <c:pt idx="0">
                  <c:v>Flw.Avi</c:v>
                </c:pt>
                <c:pt idx="1">
                  <c:v>Flw.Aga</c:v>
                </c:pt>
                <c:pt idx="2">
                  <c:v>Diam.Avi</c:v>
                </c:pt>
                <c:pt idx="3">
                  <c:v>Diam.Aga </c:v>
                </c:pt>
                <c:pt idx="4">
                  <c:v>Leaf.Avi</c:v>
                </c:pt>
                <c:pt idx="5">
                  <c:v>Leaf.Aga </c:v>
                </c:pt>
                <c:pt idx="6">
                  <c:v>Ht.Avi  </c:v>
                </c:pt>
                <c:pt idx="7">
                  <c:v>Ht.Aga </c:v>
                </c:pt>
                <c:pt idx="8">
                  <c:v>Nbfruits.Avi </c:v>
                </c:pt>
                <c:pt idx="9">
                  <c:v>FW.Avi </c:v>
                </c:pt>
                <c:pt idx="10">
                  <c:v>FW.Aga </c:v>
                </c:pt>
                <c:pt idx="11">
                  <c:v>FIR.Avi</c:v>
                </c:pt>
                <c:pt idx="12">
                  <c:v>FIR.Aga </c:v>
                </c:pt>
                <c:pt idx="13">
                  <c:v>DMW.Avi</c:v>
                </c:pt>
                <c:pt idx="14">
                  <c:v>pH.Avi</c:v>
                </c:pt>
                <c:pt idx="15">
                  <c:v>SSC.Avi</c:v>
                </c:pt>
                <c:pt idx="16">
                  <c:v>VitCFM.Avi </c:v>
                </c:pt>
                <c:pt idx="17">
                  <c:v>CitricFM.Avi</c:v>
                </c:pt>
                <c:pt idx="18">
                  <c:v>MalicFM.Avi </c:v>
                </c:pt>
                <c:pt idx="19">
                  <c:v>GlucoseFM.Avi</c:v>
                </c:pt>
                <c:pt idx="20">
                  <c:v>FructoseFM.Avi</c:v>
                </c:pt>
              </c:strCache>
            </c:strRef>
          </c:cat>
          <c:val>
            <c:numRef>
              <c:f>Feuil2!$C$2:$C$22</c:f>
              <c:numCache>
                <c:formatCode>General</c:formatCode>
                <c:ptCount val="21"/>
                <c:pt idx="0">
                  <c:v>8.86</c:v>
                </c:pt>
                <c:pt idx="1">
                  <c:v>10.66</c:v>
                </c:pt>
                <c:pt idx="2">
                  <c:v>4.6899999999999986</c:v>
                </c:pt>
                <c:pt idx="3">
                  <c:v>2.91</c:v>
                </c:pt>
                <c:pt idx="4">
                  <c:v>5.64</c:v>
                </c:pt>
                <c:pt idx="5">
                  <c:v>2.48</c:v>
                </c:pt>
                <c:pt idx="6">
                  <c:v>1.95</c:v>
                </c:pt>
                <c:pt idx="7">
                  <c:v>3.8</c:v>
                </c:pt>
                <c:pt idx="8">
                  <c:v>14.17</c:v>
                </c:pt>
                <c:pt idx="9">
                  <c:v>15.08</c:v>
                </c:pt>
                <c:pt idx="10">
                  <c:v>8.5400000000000009</c:v>
                </c:pt>
                <c:pt idx="11">
                  <c:v>9.9700000000000006</c:v>
                </c:pt>
                <c:pt idx="12">
                  <c:v>3.8</c:v>
                </c:pt>
                <c:pt idx="13">
                  <c:v>4.72</c:v>
                </c:pt>
                <c:pt idx="14">
                  <c:v>0.67</c:v>
                </c:pt>
                <c:pt idx="15">
                  <c:v>1.1399999999999999</c:v>
                </c:pt>
                <c:pt idx="16">
                  <c:v>1.73</c:v>
                </c:pt>
                <c:pt idx="17">
                  <c:v>3.08</c:v>
                </c:pt>
                <c:pt idx="18">
                  <c:v>4.67</c:v>
                </c:pt>
                <c:pt idx="19">
                  <c:v>0.49</c:v>
                </c:pt>
                <c:pt idx="20">
                  <c:v>0.49</c:v>
                </c:pt>
              </c:numCache>
            </c:numRef>
          </c:val>
        </c:ser>
        <c:ser>
          <c:idx val="2"/>
          <c:order val="2"/>
          <c:tx>
            <c:strRef>
              <c:f>Feuil2!$D$1</c:f>
              <c:strCache>
                <c:ptCount val="1"/>
                <c:pt idx="0">
                  <c:v>SS Gr(G) </c:v>
                </c:pt>
              </c:strCache>
            </c:strRef>
          </c:tx>
          <c:cat>
            <c:strRef>
              <c:f>Feuil2!$A$2:$A$22</c:f>
              <c:strCache>
                <c:ptCount val="21"/>
                <c:pt idx="0">
                  <c:v>Flw.Avi</c:v>
                </c:pt>
                <c:pt idx="1">
                  <c:v>Flw.Aga</c:v>
                </c:pt>
                <c:pt idx="2">
                  <c:v>Diam.Avi</c:v>
                </c:pt>
                <c:pt idx="3">
                  <c:v>Diam.Aga </c:v>
                </c:pt>
                <c:pt idx="4">
                  <c:v>Leaf.Avi</c:v>
                </c:pt>
                <c:pt idx="5">
                  <c:v>Leaf.Aga </c:v>
                </c:pt>
                <c:pt idx="6">
                  <c:v>Ht.Avi  </c:v>
                </c:pt>
                <c:pt idx="7">
                  <c:v>Ht.Aga </c:v>
                </c:pt>
                <c:pt idx="8">
                  <c:v>Nbfruits.Avi </c:v>
                </c:pt>
                <c:pt idx="9">
                  <c:v>FW.Avi </c:v>
                </c:pt>
                <c:pt idx="10">
                  <c:v>FW.Aga </c:v>
                </c:pt>
                <c:pt idx="11">
                  <c:v>FIR.Avi</c:v>
                </c:pt>
                <c:pt idx="12">
                  <c:v>FIR.Aga </c:v>
                </c:pt>
                <c:pt idx="13">
                  <c:v>DMW.Avi</c:v>
                </c:pt>
                <c:pt idx="14">
                  <c:v>pH.Avi</c:v>
                </c:pt>
                <c:pt idx="15">
                  <c:v>SSC.Avi</c:v>
                </c:pt>
                <c:pt idx="16">
                  <c:v>VitCFM.Avi </c:v>
                </c:pt>
                <c:pt idx="17">
                  <c:v>CitricFM.Avi</c:v>
                </c:pt>
                <c:pt idx="18">
                  <c:v>MalicFM.Avi </c:v>
                </c:pt>
                <c:pt idx="19">
                  <c:v>GlucoseFM.Avi</c:v>
                </c:pt>
                <c:pt idx="20">
                  <c:v>FructoseFM.Avi</c:v>
                </c:pt>
              </c:strCache>
            </c:strRef>
          </c:cat>
          <c:val>
            <c:numRef>
              <c:f>Feuil2!$D$2:$D$22</c:f>
              <c:numCache>
                <c:formatCode>General</c:formatCode>
                <c:ptCount val="21"/>
                <c:pt idx="0">
                  <c:v>71.08</c:v>
                </c:pt>
                <c:pt idx="1">
                  <c:v>74.5</c:v>
                </c:pt>
                <c:pt idx="2">
                  <c:v>25.09</c:v>
                </c:pt>
                <c:pt idx="3">
                  <c:v>18.95</c:v>
                </c:pt>
                <c:pt idx="4">
                  <c:v>38.04</c:v>
                </c:pt>
                <c:pt idx="5">
                  <c:v>18.25</c:v>
                </c:pt>
                <c:pt idx="6">
                  <c:v>78.14</c:v>
                </c:pt>
                <c:pt idx="7">
                  <c:v>64.489999999999995</c:v>
                </c:pt>
                <c:pt idx="8">
                  <c:v>51.17</c:v>
                </c:pt>
                <c:pt idx="9">
                  <c:v>75.64</c:v>
                </c:pt>
                <c:pt idx="10">
                  <c:v>80.5</c:v>
                </c:pt>
                <c:pt idx="11">
                  <c:v>40.520000000000003</c:v>
                </c:pt>
                <c:pt idx="12">
                  <c:v>49.07</c:v>
                </c:pt>
                <c:pt idx="13">
                  <c:v>61.27</c:v>
                </c:pt>
                <c:pt idx="14">
                  <c:v>51.73</c:v>
                </c:pt>
                <c:pt idx="15">
                  <c:v>55.52</c:v>
                </c:pt>
                <c:pt idx="16">
                  <c:v>62.99</c:v>
                </c:pt>
                <c:pt idx="17">
                  <c:v>49.51</c:v>
                </c:pt>
                <c:pt idx="18">
                  <c:v>57.2</c:v>
                </c:pt>
                <c:pt idx="19">
                  <c:v>35.64</c:v>
                </c:pt>
                <c:pt idx="20">
                  <c:v>38.979999999999997</c:v>
                </c:pt>
              </c:numCache>
            </c:numRef>
          </c:val>
        </c:ser>
        <c:ser>
          <c:idx val="3"/>
          <c:order val="3"/>
          <c:tx>
            <c:strRef>
              <c:f>Feuil2!$E$1</c:f>
              <c:strCache>
                <c:ptCount val="1"/>
                <c:pt idx="0">
                  <c:v>SS Gr x W</c:v>
                </c:pt>
              </c:strCache>
            </c:strRef>
          </c:tx>
          <c:spPr>
            <a:solidFill>
              <a:schemeClr val="tx1"/>
            </a:solidFill>
          </c:spPr>
          <c:cat>
            <c:strRef>
              <c:f>Feuil2!$A$2:$A$22</c:f>
              <c:strCache>
                <c:ptCount val="21"/>
                <c:pt idx="0">
                  <c:v>Flw.Avi</c:v>
                </c:pt>
                <c:pt idx="1">
                  <c:v>Flw.Aga</c:v>
                </c:pt>
                <c:pt idx="2">
                  <c:v>Diam.Avi</c:v>
                </c:pt>
                <c:pt idx="3">
                  <c:v>Diam.Aga </c:v>
                </c:pt>
                <c:pt idx="4">
                  <c:v>Leaf.Avi</c:v>
                </c:pt>
                <c:pt idx="5">
                  <c:v>Leaf.Aga </c:v>
                </c:pt>
                <c:pt idx="6">
                  <c:v>Ht.Avi  </c:v>
                </c:pt>
                <c:pt idx="7">
                  <c:v>Ht.Aga </c:v>
                </c:pt>
                <c:pt idx="8">
                  <c:v>Nbfruits.Avi </c:v>
                </c:pt>
                <c:pt idx="9">
                  <c:v>FW.Avi </c:v>
                </c:pt>
                <c:pt idx="10">
                  <c:v>FW.Aga </c:v>
                </c:pt>
                <c:pt idx="11">
                  <c:v>FIR.Avi</c:v>
                </c:pt>
                <c:pt idx="12">
                  <c:v>FIR.Aga </c:v>
                </c:pt>
                <c:pt idx="13">
                  <c:v>DMW.Avi</c:v>
                </c:pt>
                <c:pt idx="14">
                  <c:v>pH.Avi</c:v>
                </c:pt>
                <c:pt idx="15">
                  <c:v>SSC.Avi</c:v>
                </c:pt>
                <c:pt idx="16">
                  <c:v>VitCFM.Avi </c:v>
                </c:pt>
                <c:pt idx="17">
                  <c:v>CitricFM.Avi</c:v>
                </c:pt>
                <c:pt idx="18">
                  <c:v>MalicFM.Avi </c:v>
                </c:pt>
                <c:pt idx="19">
                  <c:v>GlucoseFM.Avi</c:v>
                </c:pt>
                <c:pt idx="20">
                  <c:v>FructoseFM.Avi</c:v>
                </c:pt>
              </c:strCache>
            </c:strRef>
          </c:cat>
          <c:val>
            <c:numRef>
              <c:f>Feuil2!$E$2:$E$22</c:f>
              <c:numCache>
                <c:formatCode>General</c:formatCode>
                <c:ptCount val="21"/>
                <c:pt idx="0">
                  <c:v>0.05</c:v>
                </c:pt>
                <c:pt idx="1">
                  <c:v>0.01</c:v>
                </c:pt>
                <c:pt idx="2">
                  <c:v>0.04</c:v>
                </c:pt>
                <c:pt idx="3">
                  <c:v>0.63</c:v>
                </c:pt>
                <c:pt idx="4">
                  <c:v>0.72</c:v>
                </c:pt>
                <c:pt idx="5">
                  <c:v>1</c:v>
                </c:pt>
                <c:pt idx="6">
                  <c:v>0.48</c:v>
                </c:pt>
                <c:pt idx="7">
                  <c:v>0.04</c:v>
                </c:pt>
                <c:pt idx="8">
                  <c:v>0.51</c:v>
                </c:pt>
                <c:pt idx="9">
                  <c:v>0.03</c:v>
                </c:pt>
                <c:pt idx="10">
                  <c:v>0.09</c:v>
                </c:pt>
                <c:pt idx="11">
                  <c:v>0.02</c:v>
                </c:pt>
                <c:pt idx="12">
                  <c:v>0.43</c:v>
                </c:pt>
                <c:pt idx="13">
                  <c:v>0.19</c:v>
                </c:pt>
                <c:pt idx="14">
                  <c:v>0.13</c:v>
                </c:pt>
                <c:pt idx="15">
                  <c:v>0.03</c:v>
                </c:pt>
                <c:pt idx="16">
                  <c:v>0.62</c:v>
                </c:pt>
                <c:pt idx="17">
                  <c:v>0.32</c:v>
                </c:pt>
                <c:pt idx="18">
                  <c:v>0.03</c:v>
                </c:pt>
                <c:pt idx="19">
                  <c:v>0.25</c:v>
                </c:pt>
                <c:pt idx="20">
                  <c:v>0.26</c:v>
                </c:pt>
              </c:numCache>
            </c:numRef>
          </c:val>
        </c:ser>
        <c:ser>
          <c:idx val="4"/>
          <c:order val="4"/>
          <c:tx>
            <c:strRef>
              <c:f>Feuil2!$F$1</c:f>
              <c:strCache>
                <c:ptCount val="1"/>
                <c:pt idx="0">
                  <c:v>SS Gr(G) x W</c:v>
                </c:pt>
              </c:strCache>
            </c:strRef>
          </c:tx>
          <c:cat>
            <c:strRef>
              <c:f>Feuil2!$A$2:$A$22</c:f>
              <c:strCache>
                <c:ptCount val="21"/>
                <c:pt idx="0">
                  <c:v>Flw.Avi</c:v>
                </c:pt>
                <c:pt idx="1">
                  <c:v>Flw.Aga</c:v>
                </c:pt>
                <c:pt idx="2">
                  <c:v>Diam.Avi</c:v>
                </c:pt>
                <c:pt idx="3">
                  <c:v>Diam.Aga </c:v>
                </c:pt>
                <c:pt idx="4">
                  <c:v>Leaf.Avi</c:v>
                </c:pt>
                <c:pt idx="5">
                  <c:v>Leaf.Aga </c:v>
                </c:pt>
                <c:pt idx="6">
                  <c:v>Ht.Avi  </c:v>
                </c:pt>
                <c:pt idx="7">
                  <c:v>Ht.Aga </c:v>
                </c:pt>
                <c:pt idx="8">
                  <c:v>Nbfruits.Avi </c:v>
                </c:pt>
                <c:pt idx="9">
                  <c:v>FW.Avi </c:v>
                </c:pt>
                <c:pt idx="10">
                  <c:v>FW.Aga </c:v>
                </c:pt>
                <c:pt idx="11">
                  <c:v>FIR.Avi</c:v>
                </c:pt>
                <c:pt idx="12">
                  <c:v>FIR.Aga </c:v>
                </c:pt>
                <c:pt idx="13">
                  <c:v>DMW.Avi</c:v>
                </c:pt>
                <c:pt idx="14">
                  <c:v>pH.Avi</c:v>
                </c:pt>
                <c:pt idx="15">
                  <c:v>SSC.Avi</c:v>
                </c:pt>
                <c:pt idx="16">
                  <c:v>VitCFM.Avi </c:v>
                </c:pt>
                <c:pt idx="17">
                  <c:v>CitricFM.Avi</c:v>
                </c:pt>
                <c:pt idx="18">
                  <c:v>MalicFM.Avi </c:v>
                </c:pt>
                <c:pt idx="19">
                  <c:v>GlucoseFM.Avi</c:v>
                </c:pt>
                <c:pt idx="20">
                  <c:v>FructoseFM.Avi</c:v>
                </c:pt>
              </c:strCache>
            </c:strRef>
          </c:cat>
          <c:val>
            <c:numRef>
              <c:f>Feuil2!$F$2:$F$22</c:f>
              <c:numCache>
                <c:formatCode>General</c:formatCode>
                <c:ptCount val="21"/>
                <c:pt idx="0">
                  <c:v>7.43</c:v>
                </c:pt>
                <c:pt idx="1">
                  <c:v>6.22</c:v>
                </c:pt>
                <c:pt idx="2">
                  <c:v>11.49</c:v>
                </c:pt>
                <c:pt idx="3">
                  <c:v>14.32</c:v>
                </c:pt>
                <c:pt idx="4">
                  <c:v>12.49</c:v>
                </c:pt>
                <c:pt idx="5">
                  <c:v>9.56</c:v>
                </c:pt>
                <c:pt idx="6">
                  <c:v>8.0500000000000007</c:v>
                </c:pt>
                <c:pt idx="7">
                  <c:v>15.37</c:v>
                </c:pt>
                <c:pt idx="8">
                  <c:v>20.6</c:v>
                </c:pt>
                <c:pt idx="9">
                  <c:v>1.17</c:v>
                </c:pt>
                <c:pt idx="10">
                  <c:v>3</c:v>
                </c:pt>
                <c:pt idx="11">
                  <c:v>5.0599999999999996</c:v>
                </c:pt>
                <c:pt idx="12">
                  <c:v>12.4</c:v>
                </c:pt>
                <c:pt idx="13">
                  <c:v>5.78</c:v>
                </c:pt>
                <c:pt idx="14">
                  <c:v>8.73</c:v>
                </c:pt>
                <c:pt idx="15">
                  <c:v>8.4499999999999993</c:v>
                </c:pt>
                <c:pt idx="16">
                  <c:v>9.06</c:v>
                </c:pt>
                <c:pt idx="17">
                  <c:v>12.31</c:v>
                </c:pt>
                <c:pt idx="18">
                  <c:v>8.620000000000001</c:v>
                </c:pt>
                <c:pt idx="19">
                  <c:v>19.23</c:v>
                </c:pt>
                <c:pt idx="20">
                  <c:v>14.15</c:v>
                </c:pt>
              </c:numCache>
            </c:numRef>
          </c:val>
        </c:ser>
        <c:dLbls>
          <c:showLegendKey val="0"/>
          <c:showVal val="0"/>
          <c:showCatName val="0"/>
          <c:showSerName val="0"/>
          <c:showPercent val="0"/>
          <c:showBubbleSize val="0"/>
        </c:dLbls>
        <c:axId val="85480576"/>
        <c:axId val="85482112"/>
      </c:areaChart>
      <c:catAx>
        <c:axId val="85480576"/>
        <c:scaling>
          <c:orientation val="minMax"/>
        </c:scaling>
        <c:delete val="0"/>
        <c:axPos val="b"/>
        <c:majorTickMark val="out"/>
        <c:minorTickMark val="none"/>
        <c:tickLblPos val="nextTo"/>
        <c:crossAx val="85482112"/>
        <c:crosses val="autoZero"/>
        <c:auto val="1"/>
        <c:lblAlgn val="ctr"/>
        <c:lblOffset val="100"/>
        <c:noMultiLvlLbl val="0"/>
      </c:catAx>
      <c:valAx>
        <c:axId val="85482112"/>
        <c:scaling>
          <c:orientation val="minMax"/>
        </c:scaling>
        <c:delete val="0"/>
        <c:axPos val="l"/>
        <c:majorGridlines/>
        <c:numFmt formatCode="0%" sourceLinked="1"/>
        <c:majorTickMark val="out"/>
        <c:minorTickMark val="none"/>
        <c:tickLblPos val="nextTo"/>
        <c:crossAx val="85480576"/>
        <c:crosses val="autoZero"/>
        <c:crossBetween val="midCat"/>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6A300B0B</Template>
  <TotalTime>0</TotalTime>
  <Pages>14</Pages>
  <Words>4376</Words>
  <Characters>24068</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causse</dc:creator>
  <cp:lastModifiedBy>Jullian Evelyne</cp:lastModifiedBy>
  <cp:revision>2</cp:revision>
  <cp:lastPrinted>2016-03-30T09:24:00Z</cp:lastPrinted>
  <dcterms:created xsi:type="dcterms:W3CDTF">2016-08-18T05:36:00Z</dcterms:created>
  <dcterms:modified xsi:type="dcterms:W3CDTF">2016-08-18T05:36:00Z</dcterms:modified>
</cp:coreProperties>
</file>