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985E0" w14:textId="6D94E2F1" w:rsidR="00472C4E" w:rsidRDefault="007245C4" w:rsidP="00C9699B">
      <w:pPr>
        <w:jc w:val="center"/>
        <w:rPr>
          <w:sz w:val="32"/>
          <w:szCs w:val="32"/>
          <w:lang w:val="en-US"/>
        </w:rPr>
      </w:pPr>
      <w:r w:rsidRPr="00C9699B">
        <w:rPr>
          <w:sz w:val="32"/>
          <w:szCs w:val="32"/>
          <w:lang w:val="en-US"/>
        </w:rPr>
        <w:t xml:space="preserve">Transfer of a miniaturized method for high-throughput screening of biomass pretreatment and saccharification and application </w:t>
      </w:r>
      <w:r w:rsidR="000C25A9">
        <w:rPr>
          <w:sz w:val="32"/>
          <w:szCs w:val="32"/>
          <w:lang w:val="en-US"/>
        </w:rPr>
        <w:t>on poplar and miscanthus clone</w:t>
      </w:r>
      <w:r w:rsidRPr="00C9699B">
        <w:rPr>
          <w:sz w:val="32"/>
          <w:szCs w:val="32"/>
          <w:lang w:val="en-US"/>
        </w:rPr>
        <w:t>s</w:t>
      </w:r>
    </w:p>
    <w:p w14:paraId="59AD127C" w14:textId="77777777" w:rsidR="00C9699B" w:rsidRPr="00C9699B" w:rsidRDefault="00C9699B" w:rsidP="00C9699B">
      <w:pPr>
        <w:jc w:val="center"/>
        <w:rPr>
          <w:sz w:val="20"/>
          <w:szCs w:val="20"/>
          <w:lang w:val="en-US"/>
        </w:rPr>
      </w:pPr>
    </w:p>
    <w:p w14:paraId="2AA19B06" w14:textId="48B8C19B" w:rsidR="00472C4E" w:rsidRPr="00583059" w:rsidRDefault="00472C4E" w:rsidP="00472C4E">
      <w:pPr>
        <w:jc w:val="both"/>
        <w:rPr>
          <w:rFonts w:asciiTheme="majorHAnsi" w:hAnsiTheme="majorHAnsi"/>
          <w:lang w:val="en-US"/>
        </w:rPr>
      </w:pPr>
      <w:proofErr w:type="spellStart"/>
      <w:r w:rsidRPr="00583059">
        <w:rPr>
          <w:rFonts w:asciiTheme="majorHAnsi" w:hAnsiTheme="majorHAnsi"/>
          <w:b/>
          <w:lang w:val="en-US"/>
        </w:rPr>
        <w:t>Belmokhtar</w:t>
      </w:r>
      <w:proofErr w:type="spellEnd"/>
      <w:r w:rsidRPr="00583059">
        <w:rPr>
          <w:rFonts w:asciiTheme="majorHAnsi" w:hAnsiTheme="majorHAnsi"/>
          <w:b/>
          <w:lang w:val="en-US"/>
        </w:rPr>
        <w:t xml:space="preserve"> </w:t>
      </w:r>
      <w:proofErr w:type="spellStart"/>
      <w:r w:rsidRPr="00583059">
        <w:rPr>
          <w:rFonts w:asciiTheme="majorHAnsi" w:hAnsiTheme="majorHAnsi"/>
          <w:b/>
          <w:lang w:val="en-US"/>
        </w:rPr>
        <w:t>Nassim</w:t>
      </w:r>
      <w:r w:rsidRPr="00583059">
        <w:rPr>
          <w:rFonts w:cs="Times New Roman"/>
          <w:b/>
          <w:vertAlign w:val="superscript"/>
          <w:lang w:val="en-US"/>
        </w:rPr>
        <w:t>a</w:t>
      </w:r>
      <w:r w:rsidR="00F02FA6">
        <w:rPr>
          <w:rFonts w:cs="Times New Roman"/>
          <w:b/>
          <w:vertAlign w:val="superscript"/>
          <w:lang w:val="en-US"/>
        </w:rPr>
        <w:t>,b</w:t>
      </w:r>
      <w:proofErr w:type="spellEnd"/>
      <w:r w:rsidRPr="00583059">
        <w:rPr>
          <w:rFonts w:asciiTheme="majorHAnsi" w:hAnsiTheme="majorHAnsi"/>
          <w:lang w:val="en-US"/>
        </w:rPr>
        <w:t xml:space="preserve">, Segura </w:t>
      </w:r>
      <w:proofErr w:type="spellStart"/>
      <w:r w:rsidRPr="00583059">
        <w:rPr>
          <w:rFonts w:asciiTheme="majorHAnsi" w:hAnsiTheme="majorHAnsi"/>
          <w:lang w:val="en-US"/>
        </w:rPr>
        <w:t>Vincent</w:t>
      </w:r>
      <w:r w:rsidRPr="00583059">
        <w:rPr>
          <w:rFonts w:cs="Times New Roman"/>
          <w:vertAlign w:val="superscript"/>
          <w:lang w:val="en-US"/>
        </w:rPr>
        <w:t>a</w:t>
      </w:r>
      <w:proofErr w:type="spellEnd"/>
      <w:r w:rsidRPr="00583059">
        <w:rPr>
          <w:rFonts w:asciiTheme="majorHAnsi" w:hAnsiTheme="majorHAnsi"/>
          <w:lang w:val="en-US"/>
        </w:rPr>
        <w:t xml:space="preserve">, </w:t>
      </w:r>
      <w:r w:rsidR="002413D5">
        <w:rPr>
          <w:rFonts w:asciiTheme="majorHAnsi" w:hAnsiTheme="majorHAnsi"/>
          <w:lang w:val="en-US"/>
        </w:rPr>
        <w:t xml:space="preserve">Brigitte </w:t>
      </w:r>
      <w:proofErr w:type="spellStart"/>
      <w:r w:rsidR="002413D5">
        <w:rPr>
          <w:rFonts w:asciiTheme="majorHAnsi" w:hAnsiTheme="majorHAnsi"/>
          <w:lang w:val="en-US"/>
        </w:rPr>
        <w:t>Chabbert</w:t>
      </w:r>
      <w:r w:rsidR="00F02FA6">
        <w:rPr>
          <w:rFonts w:cs="Times New Roman"/>
          <w:vertAlign w:val="superscript"/>
          <w:lang w:val="en-US"/>
        </w:rPr>
        <w:t>c</w:t>
      </w:r>
      <w:proofErr w:type="spellEnd"/>
      <w:r w:rsidR="002413D5">
        <w:rPr>
          <w:rFonts w:asciiTheme="majorHAnsi" w:hAnsiTheme="majorHAnsi"/>
          <w:lang w:val="en-US"/>
        </w:rPr>
        <w:t xml:space="preserve">, </w:t>
      </w:r>
      <w:r w:rsidRPr="00583059">
        <w:rPr>
          <w:rFonts w:asciiTheme="majorHAnsi" w:hAnsiTheme="majorHAnsi"/>
          <w:lang w:val="en-US"/>
        </w:rPr>
        <w:t xml:space="preserve">Nathalie </w:t>
      </w:r>
      <w:proofErr w:type="spellStart"/>
      <w:r w:rsidRPr="00583059">
        <w:rPr>
          <w:rFonts w:asciiTheme="majorHAnsi" w:hAnsiTheme="majorHAnsi"/>
          <w:lang w:val="en-US"/>
        </w:rPr>
        <w:t>Boizot</w:t>
      </w:r>
      <w:r w:rsidR="00F02FA6">
        <w:rPr>
          <w:rFonts w:cs="Times New Roman"/>
          <w:vertAlign w:val="superscript"/>
          <w:lang w:val="en-US"/>
        </w:rPr>
        <w:t>a,b</w:t>
      </w:r>
      <w:proofErr w:type="spellEnd"/>
      <w:r w:rsidRPr="00583059">
        <w:rPr>
          <w:rFonts w:asciiTheme="majorHAnsi" w:hAnsiTheme="majorHAnsi"/>
          <w:lang w:val="en-US"/>
        </w:rPr>
        <w:t xml:space="preserve">, </w:t>
      </w:r>
      <w:proofErr w:type="spellStart"/>
      <w:r w:rsidRPr="00583059">
        <w:rPr>
          <w:rFonts w:asciiTheme="majorHAnsi" w:hAnsiTheme="majorHAnsi"/>
          <w:lang w:val="en-US"/>
        </w:rPr>
        <w:t>Ader</w:t>
      </w:r>
      <w:proofErr w:type="spellEnd"/>
      <w:r w:rsidRPr="00583059">
        <w:rPr>
          <w:rFonts w:asciiTheme="majorHAnsi" w:hAnsiTheme="majorHAnsi"/>
          <w:lang w:val="en-US"/>
        </w:rPr>
        <w:t xml:space="preserve"> </w:t>
      </w:r>
      <w:proofErr w:type="spellStart"/>
      <w:r w:rsidRPr="00583059">
        <w:rPr>
          <w:rFonts w:asciiTheme="majorHAnsi" w:hAnsiTheme="majorHAnsi"/>
          <w:lang w:val="en-US"/>
        </w:rPr>
        <w:t>Kévin</w:t>
      </w:r>
      <w:r w:rsidR="00F02FA6">
        <w:rPr>
          <w:rFonts w:cs="Times New Roman"/>
          <w:vertAlign w:val="superscript"/>
          <w:lang w:val="en-US"/>
        </w:rPr>
        <w:t>a,b</w:t>
      </w:r>
      <w:proofErr w:type="spellEnd"/>
      <w:r w:rsidRPr="00583059">
        <w:rPr>
          <w:rFonts w:asciiTheme="majorHAnsi" w:hAnsiTheme="majorHAnsi"/>
          <w:lang w:val="en-US"/>
        </w:rPr>
        <w:t xml:space="preserve">, </w:t>
      </w:r>
      <w:proofErr w:type="spellStart"/>
      <w:r w:rsidRPr="00583059">
        <w:rPr>
          <w:rFonts w:asciiTheme="majorHAnsi" w:hAnsiTheme="majorHAnsi"/>
          <w:lang w:val="en-US"/>
        </w:rPr>
        <w:t>Arnoult</w:t>
      </w:r>
      <w:proofErr w:type="spellEnd"/>
      <w:r w:rsidRPr="00583059">
        <w:rPr>
          <w:rFonts w:asciiTheme="majorHAnsi" w:hAnsiTheme="majorHAnsi"/>
          <w:lang w:val="en-US"/>
        </w:rPr>
        <w:t xml:space="preserve"> </w:t>
      </w:r>
      <w:proofErr w:type="spellStart"/>
      <w:r w:rsidRPr="00583059">
        <w:rPr>
          <w:rFonts w:asciiTheme="majorHAnsi" w:hAnsiTheme="majorHAnsi"/>
          <w:lang w:val="en-US"/>
        </w:rPr>
        <w:t>Stéphanie</w:t>
      </w:r>
      <w:r w:rsidR="002413D5">
        <w:rPr>
          <w:rFonts w:cs="Times New Roman"/>
          <w:vertAlign w:val="superscript"/>
          <w:lang w:val="en-US"/>
        </w:rPr>
        <w:t>d</w:t>
      </w:r>
      <w:proofErr w:type="spellEnd"/>
      <w:r w:rsidRPr="00583059">
        <w:rPr>
          <w:rFonts w:asciiTheme="majorHAnsi" w:hAnsiTheme="majorHAnsi"/>
          <w:lang w:val="en-US"/>
        </w:rPr>
        <w:t xml:space="preserve">, </w:t>
      </w:r>
      <w:proofErr w:type="spellStart"/>
      <w:r w:rsidRPr="00583059">
        <w:rPr>
          <w:rFonts w:asciiTheme="majorHAnsi" w:hAnsiTheme="majorHAnsi"/>
          <w:lang w:val="en-US"/>
        </w:rPr>
        <w:t>Maryse</w:t>
      </w:r>
      <w:proofErr w:type="spellEnd"/>
      <w:r w:rsidRPr="00583059">
        <w:rPr>
          <w:rFonts w:asciiTheme="majorHAnsi" w:hAnsiTheme="majorHAnsi"/>
          <w:lang w:val="en-US"/>
        </w:rPr>
        <w:t xml:space="preserve"> </w:t>
      </w:r>
      <w:proofErr w:type="spellStart"/>
      <w:r w:rsidRPr="00583059">
        <w:rPr>
          <w:rFonts w:asciiTheme="majorHAnsi" w:hAnsiTheme="majorHAnsi"/>
          <w:lang w:val="en-US"/>
        </w:rPr>
        <w:t>Brancourt</w:t>
      </w:r>
      <w:r w:rsidR="00E26499">
        <w:rPr>
          <w:rFonts w:asciiTheme="majorHAnsi" w:hAnsiTheme="majorHAnsi"/>
          <w:lang w:val="en-US"/>
        </w:rPr>
        <w:t>-Hulmel</w:t>
      </w:r>
      <w:r w:rsidR="002413D5">
        <w:rPr>
          <w:rFonts w:cs="Times New Roman"/>
          <w:vertAlign w:val="superscript"/>
          <w:lang w:val="en-US"/>
        </w:rPr>
        <w:t>e</w:t>
      </w:r>
      <w:proofErr w:type="spellEnd"/>
      <w:r w:rsidRPr="00583059">
        <w:rPr>
          <w:rFonts w:asciiTheme="majorHAnsi" w:hAnsiTheme="majorHAnsi"/>
          <w:lang w:val="en-US"/>
        </w:rPr>
        <w:t xml:space="preserve">, </w:t>
      </w:r>
      <w:r w:rsidR="002413D5">
        <w:rPr>
          <w:rFonts w:asciiTheme="majorHAnsi" w:hAnsiTheme="majorHAnsi"/>
          <w:lang w:val="en-US"/>
        </w:rPr>
        <w:t xml:space="preserve">Jean-Charles </w:t>
      </w:r>
      <w:proofErr w:type="spellStart"/>
      <w:r w:rsidR="002413D5">
        <w:rPr>
          <w:rFonts w:asciiTheme="majorHAnsi" w:hAnsiTheme="majorHAnsi"/>
          <w:lang w:val="en-US"/>
        </w:rPr>
        <w:t>Bastien</w:t>
      </w:r>
      <w:r w:rsidR="002413D5" w:rsidRPr="00583059">
        <w:rPr>
          <w:rFonts w:cs="Times New Roman"/>
          <w:vertAlign w:val="superscript"/>
          <w:lang w:val="en-US"/>
        </w:rPr>
        <w:t>a</w:t>
      </w:r>
      <w:proofErr w:type="spellEnd"/>
      <w:r w:rsidR="002413D5">
        <w:rPr>
          <w:rFonts w:asciiTheme="majorHAnsi" w:hAnsiTheme="majorHAnsi"/>
          <w:lang w:val="en-US"/>
        </w:rPr>
        <w:t xml:space="preserve">, </w:t>
      </w:r>
      <w:r w:rsidRPr="00583059">
        <w:rPr>
          <w:rFonts w:asciiTheme="majorHAnsi" w:hAnsiTheme="majorHAnsi"/>
          <w:lang w:val="en-US"/>
        </w:rPr>
        <w:t xml:space="preserve">Catherine </w:t>
      </w:r>
      <w:proofErr w:type="spellStart"/>
      <w:r w:rsidRPr="00583059">
        <w:rPr>
          <w:rFonts w:asciiTheme="majorHAnsi" w:hAnsiTheme="majorHAnsi"/>
          <w:lang w:val="en-US"/>
        </w:rPr>
        <w:t>Bastien</w:t>
      </w:r>
      <w:r w:rsidRPr="00583059">
        <w:rPr>
          <w:rFonts w:cs="Times New Roman"/>
          <w:vertAlign w:val="superscript"/>
          <w:lang w:val="en-US"/>
        </w:rPr>
        <w:t>a</w:t>
      </w:r>
      <w:proofErr w:type="spellEnd"/>
      <w:r w:rsidRPr="00583059">
        <w:rPr>
          <w:rFonts w:asciiTheme="majorHAnsi" w:hAnsiTheme="majorHAnsi"/>
          <w:lang w:val="en-US"/>
        </w:rPr>
        <w:t xml:space="preserve">, Jean Paul </w:t>
      </w:r>
      <w:proofErr w:type="spellStart"/>
      <w:r w:rsidRPr="00583059">
        <w:rPr>
          <w:rFonts w:asciiTheme="majorHAnsi" w:hAnsiTheme="majorHAnsi"/>
          <w:lang w:val="en-US"/>
        </w:rPr>
        <w:t>Charpentier</w:t>
      </w:r>
      <w:r w:rsidRPr="00583059">
        <w:rPr>
          <w:rFonts w:cs="Times New Roman"/>
          <w:vertAlign w:val="superscript"/>
          <w:lang w:val="en-US"/>
        </w:rPr>
        <w:t>a</w:t>
      </w:r>
      <w:r>
        <w:rPr>
          <w:rFonts w:cs="Times New Roman"/>
          <w:vertAlign w:val="superscript"/>
          <w:lang w:val="en-US"/>
        </w:rPr>
        <w:t>,</w:t>
      </w:r>
      <w:r w:rsidR="005B1224">
        <w:rPr>
          <w:rFonts w:cs="Times New Roman"/>
          <w:vertAlign w:val="superscript"/>
          <w:lang w:val="en-US"/>
        </w:rPr>
        <w:t>b</w:t>
      </w:r>
      <w:proofErr w:type="spellEnd"/>
    </w:p>
    <w:p w14:paraId="14C4F4F2" w14:textId="77777777" w:rsidR="004B2834" w:rsidRPr="00C9699B" w:rsidRDefault="004B2834" w:rsidP="00472C4E">
      <w:pPr>
        <w:rPr>
          <w:sz w:val="20"/>
          <w:szCs w:val="20"/>
          <w:lang w:val="en-US"/>
        </w:rPr>
      </w:pPr>
    </w:p>
    <w:p w14:paraId="62F5B17E" w14:textId="23D12B2B" w:rsidR="00472C4E" w:rsidRDefault="00472C4E" w:rsidP="00472C4E">
      <w:pPr>
        <w:rPr>
          <w:rFonts w:cs="Times New Roman"/>
          <w:sz w:val="22"/>
          <w:szCs w:val="22"/>
        </w:rPr>
      </w:pPr>
      <w:proofErr w:type="spellStart"/>
      <w:proofErr w:type="gramStart"/>
      <w:r w:rsidRPr="00472C4E">
        <w:rPr>
          <w:rFonts w:cs="Times New Roman"/>
          <w:sz w:val="22"/>
          <w:szCs w:val="22"/>
          <w:vertAlign w:val="superscript"/>
        </w:rPr>
        <w:t>a</w:t>
      </w:r>
      <w:r w:rsidRPr="00472C4E">
        <w:rPr>
          <w:rFonts w:cs="Times New Roman"/>
          <w:sz w:val="22"/>
          <w:szCs w:val="22"/>
        </w:rPr>
        <w:t>INRA</w:t>
      </w:r>
      <w:proofErr w:type="spellEnd"/>
      <w:proofErr w:type="gramEnd"/>
      <w:r w:rsidRPr="00472C4E">
        <w:rPr>
          <w:rFonts w:cs="Times New Roman"/>
          <w:sz w:val="22"/>
          <w:szCs w:val="22"/>
        </w:rPr>
        <w:t>, UR 0588 AGPF, 45075 Orléans</w:t>
      </w:r>
      <w:r>
        <w:rPr>
          <w:rFonts w:cs="Times New Roman"/>
          <w:sz w:val="22"/>
          <w:szCs w:val="22"/>
        </w:rPr>
        <w:t xml:space="preserve">, </w:t>
      </w:r>
      <w:r w:rsidR="002413D5">
        <w:rPr>
          <w:rFonts w:cs="Times New Roman"/>
          <w:sz w:val="22"/>
          <w:szCs w:val="22"/>
        </w:rPr>
        <w:t>France</w:t>
      </w:r>
    </w:p>
    <w:p w14:paraId="06A716DA" w14:textId="61EDA72D" w:rsidR="00F02FA6" w:rsidRPr="00472C4E" w:rsidRDefault="00F02FA6" w:rsidP="00F02FA6">
      <w:pPr>
        <w:rPr>
          <w:rFonts w:cs="Times New Roman"/>
          <w:sz w:val="22"/>
          <w:szCs w:val="22"/>
        </w:rPr>
      </w:pPr>
      <w:proofErr w:type="spellStart"/>
      <w:proofErr w:type="gramStart"/>
      <w:r>
        <w:rPr>
          <w:rFonts w:cs="Times New Roman"/>
          <w:sz w:val="22"/>
          <w:szCs w:val="22"/>
          <w:vertAlign w:val="superscript"/>
        </w:rPr>
        <w:t>b</w:t>
      </w:r>
      <w:r w:rsidRPr="00472C4E">
        <w:rPr>
          <w:rFonts w:cs="Times New Roman"/>
          <w:sz w:val="22"/>
          <w:szCs w:val="22"/>
        </w:rPr>
        <w:t>INRA</w:t>
      </w:r>
      <w:proofErr w:type="spellEnd"/>
      <w:proofErr w:type="gramEnd"/>
      <w:r w:rsidRPr="00472C4E">
        <w:rPr>
          <w:rFonts w:cs="Times New Roman"/>
          <w:sz w:val="22"/>
          <w:szCs w:val="22"/>
        </w:rPr>
        <w:t>, plateforme régionale GénoBois, 45075 Orléans, France</w:t>
      </w:r>
    </w:p>
    <w:p w14:paraId="53246822" w14:textId="5F771C24" w:rsidR="002413D5" w:rsidRPr="004C7137" w:rsidRDefault="00F02FA6" w:rsidP="00472C4E">
      <w:pPr>
        <w:rPr>
          <w:rFonts w:cs="Times New Roman"/>
          <w:sz w:val="22"/>
          <w:szCs w:val="22"/>
        </w:rPr>
      </w:pPr>
      <w:proofErr w:type="spellStart"/>
      <w:proofErr w:type="gramStart"/>
      <w:r w:rsidRPr="004C7137">
        <w:rPr>
          <w:rFonts w:cs="Times New Roman"/>
          <w:sz w:val="22"/>
          <w:szCs w:val="22"/>
          <w:vertAlign w:val="superscript"/>
        </w:rPr>
        <w:t>c</w:t>
      </w:r>
      <w:r w:rsidR="002413D5" w:rsidRPr="004C7137">
        <w:rPr>
          <w:rFonts w:cs="Times New Roman"/>
          <w:sz w:val="22"/>
          <w:szCs w:val="22"/>
        </w:rPr>
        <w:t>INRA</w:t>
      </w:r>
      <w:proofErr w:type="spellEnd"/>
      <w:proofErr w:type="gramEnd"/>
      <w:r w:rsidR="002413D5" w:rsidRPr="004C7137">
        <w:rPr>
          <w:rFonts w:cs="Times New Roman"/>
          <w:sz w:val="22"/>
          <w:szCs w:val="22"/>
        </w:rPr>
        <w:t xml:space="preserve">, </w:t>
      </w:r>
      <w:r w:rsidR="002413D5" w:rsidRPr="004C7137">
        <w:t xml:space="preserve">UMR 0614 FARE, </w:t>
      </w:r>
      <w:r w:rsidRPr="004C7137">
        <w:t>51100 Reims, France</w:t>
      </w:r>
    </w:p>
    <w:p w14:paraId="36BBD05F" w14:textId="20524F8F" w:rsidR="00F02FA6" w:rsidRPr="00EC4B33" w:rsidRDefault="00F02FA6" w:rsidP="00F02FA6">
      <w:pPr>
        <w:rPr>
          <w:rFonts w:cs="Arial"/>
          <w:bCs/>
          <w:sz w:val="22"/>
          <w:szCs w:val="22"/>
        </w:rPr>
      </w:pPr>
      <w:proofErr w:type="spellStart"/>
      <w:proofErr w:type="gramStart"/>
      <w:r>
        <w:rPr>
          <w:rFonts w:cs="Times New Roman"/>
          <w:sz w:val="22"/>
          <w:szCs w:val="22"/>
          <w:vertAlign w:val="superscript"/>
        </w:rPr>
        <w:t>d</w:t>
      </w:r>
      <w:r w:rsidRPr="00472C4E">
        <w:rPr>
          <w:rFonts w:cs="Times New Roman"/>
          <w:sz w:val="22"/>
          <w:szCs w:val="22"/>
        </w:rPr>
        <w:t>INRA</w:t>
      </w:r>
      <w:proofErr w:type="spellEnd"/>
      <w:proofErr w:type="gramEnd"/>
      <w:r w:rsidRPr="00472C4E">
        <w:rPr>
          <w:rFonts w:cs="Times New Roman"/>
          <w:sz w:val="22"/>
          <w:szCs w:val="22"/>
        </w:rPr>
        <w:t>, UE GCIE, Estrée</w:t>
      </w:r>
      <w:r w:rsidR="00E26499">
        <w:rPr>
          <w:rFonts w:cs="Times New Roman"/>
          <w:sz w:val="22"/>
          <w:szCs w:val="22"/>
        </w:rPr>
        <w:t>s</w:t>
      </w:r>
      <w:r w:rsidRPr="00472C4E">
        <w:rPr>
          <w:rFonts w:cs="Times New Roman"/>
          <w:sz w:val="22"/>
          <w:szCs w:val="22"/>
        </w:rPr>
        <w:t>-Mons, 80203 Péronne, France</w:t>
      </w:r>
    </w:p>
    <w:p w14:paraId="5E359531" w14:textId="383E5992" w:rsidR="00472C4E" w:rsidRPr="00EC4B33" w:rsidRDefault="00F02FA6" w:rsidP="00472C4E">
      <w:pPr>
        <w:rPr>
          <w:rFonts w:cs="Arial"/>
          <w:bCs/>
          <w:sz w:val="22"/>
          <w:szCs w:val="22"/>
        </w:rPr>
      </w:pPr>
      <w:proofErr w:type="spellStart"/>
      <w:proofErr w:type="gramStart"/>
      <w:r>
        <w:rPr>
          <w:rFonts w:cs="Times New Roman"/>
          <w:sz w:val="22"/>
          <w:szCs w:val="22"/>
          <w:vertAlign w:val="superscript"/>
        </w:rPr>
        <w:t>e</w:t>
      </w:r>
      <w:r w:rsidR="00472C4E" w:rsidRPr="00472C4E">
        <w:rPr>
          <w:rFonts w:cs="Times New Roman"/>
          <w:sz w:val="22"/>
          <w:szCs w:val="22"/>
        </w:rPr>
        <w:t>INRA</w:t>
      </w:r>
      <w:proofErr w:type="spellEnd"/>
      <w:proofErr w:type="gramEnd"/>
      <w:r w:rsidR="00472C4E" w:rsidRPr="00472C4E">
        <w:rPr>
          <w:rFonts w:cs="Times New Roman"/>
          <w:sz w:val="22"/>
          <w:szCs w:val="22"/>
        </w:rPr>
        <w:t>, UR</w:t>
      </w:r>
      <w:r w:rsidR="00472C4E">
        <w:rPr>
          <w:rFonts w:cs="Times New Roman"/>
          <w:sz w:val="22"/>
          <w:szCs w:val="22"/>
        </w:rPr>
        <w:t xml:space="preserve"> </w:t>
      </w:r>
      <w:proofErr w:type="spellStart"/>
      <w:r w:rsidR="00472C4E">
        <w:rPr>
          <w:rFonts w:cs="Times New Roman"/>
          <w:sz w:val="22"/>
          <w:szCs w:val="22"/>
        </w:rPr>
        <w:t>AgroImpact</w:t>
      </w:r>
      <w:proofErr w:type="spellEnd"/>
      <w:r w:rsidR="00472C4E" w:rsidRPr="00472C4E">
        <w:rPr>
          <w:rFonts w:cs="Times New Roman"/>
          <w:sz w:val="22"/>
          <w:szCs w:val="22"/>
        </w:rPr>
        <w:t>, Estrée</w:t>
      </w:r>
      <w:r w:rsidR="00E26499">
        <w:rPr>
          <w:rFonts w:cs="Times New Roman"/>
          <w:sz w:val="22"/>
          <w:szCs w:val="22"/>
        </w:rPr>
        <w:t>s</w:t>
      </w:r>
      <w:r w:rsidR="00472C4E" w:rsidRPr="00472C4E">
        <w:rPr>
          <w:rFonts w:cs="Times New Roman"/>
          <w:sz w:val="22"/>
          <w:szCs w:val="22"/>
        </w:rPr>
        <w:t>-Mons, 80203 Péronne, France</w:t>
      </w:r>
    </w:p>
    <w:p w14:paraId="48A959FC" w14:textId="77777777" w:rsidR="005E36AC" w:rsidRPr="00C9699B" w:rsidRDefault="005E36AC">
      <w:pPr>
        <w:rPr>
          <w:sz w:val="20"/>
          <w:szCs w:val="20"/>
        </w:rPr>
      </w:pPr>
    </w:p>
    <w:p w14:paraId="23EDE294" w14:textId="4AFF03F7" w:rsidR="00472C4E" w:rsidRPr="009B5506" w:rsidRDefault="00472C4E" w:rsidP="0017033F">
      <w:pPr>
        <w:jc w:val="both"/>
        <w:rPr>
          <w:lang w:val="en-US"/>
        </w:rPr>
      </w:pPr>
      <w:r w:rsidRPr="009B5506">
        <w:rPr>
          <w:lang w:val="en-US"/>
        </w:rPr>
        <w:t xml:space="preserve">In order to meet increasing demand for second-generation biofuels, exploring large sets of lignocellulosic biomass candidates appears to be one of the key levers in bio refinery. Indeed, assessment of saccharification potential of different variants provided from breeding programs </w:t>
      </w:r>
      <w:r w:rsidR="00B4473B">
        <w:rPr>
          <w:lang w:val="en-US"/>
        </w:rPr>
        <w:t xml:space="preserve">on promising biomasses such </w:t>
      </w:r>
      <w:r w:rsidR="00E26499">
        <w:rPr>
          <w:lang w:val="en-US"/>
        </w:rPr>
        <w:t>a</w:t>
      </w:r>
      <w:r w:rsidR="001B5394">
        <w:rPr>
          <w:lang w:val="en-US"/>
        </w:rPr>
        <w:t>s</w:t>
      </w:r>
      <w:r w:rsidR="00B4473B">
        <w:rPr>
          <w:lang w:val="en-US"/>
        </w:rPr>
        <w:t xml:space="preserve"> </w:t>
      </w:r>
      <w:r w:rsidR="00B4473B" w:rsidRPr="009B5506">
        <w:rPr>
          <w:lang w:val="en-US"/>
        </w:rPr>
        <w:t xml:space="preserve">poplar and </w:t>
      </w:r>
      <w:r w:rsidR="00B4473B" w:rsidRPr="00E72338">
        <w:rPr>
          <w:lang w:val="en-US"/>
        </w:rPr>
        <w:t>miscanthus</w:t>
      </w:r>
      <w:r w:rsidR="00B4473B" w:rsidRPr="009B5506">
        <w:rPr>
          <w:lang w:val="en-US"/>
        </w:rPr>
        <w:t xml:space="preserve"> </w:t>
      </w:r>
      <w:r w:rsidRPr="009B5506">
        <w:rPr>
          <w:lang w:val="en-US"/>
        </w:rPr>
        <w:t>can le</w:t>
      </w:r>
      <w:r w:rsidR="0017033F">
        <w:rPr>
          <w:lang w:val="en-US"/>
        </w:rPr>
        <w:t>a</w:t>
      </w:r>
      <w:r w:rsidRPr="009B5506">
        <w:rPr>
          <w:lang w:val="en-US"/>
        </w:rPr>
        <w:t>d to the identification</w:t>
      </w:r>
      <w:r w:rsidR="00B4473B">
        <w:rPr>
          <w:lang w:val="en-US"/>
        </w:rPr>
        <w:t xml:space="preserve"> of</w:t>
      </w:r>
      <w:r w:rsidRPr="009B5506">
        <w:rPr>
          <w:lang w:val="en-US"/>
        </w:rPr>
        <w:t xml:space="preserve"> less recalcitrant and more economic candidates.</w:t>
      </w:r>
    </w:p>
    <w:p w14:paraId="781A0CEC" w14:textId="40707E14" w:rsidR="00472C4E" w:rsidRDefault="004B2834" w:rsidP="00B4473B">
      <w:pPr>
        <w:jc w:val="both"/>
        <w:rPr>
          <w:lang w:val="en-US"/>
        </w:rPr>
      </w:pPr>
      <w:r>
        <w:rPr>
          <w:lang w:val="en-US"/>
        </w:rPr>
        <w:t xml:space="preserve">Based on recently described high-throughput screening methods </w:t>
      </w:r>
      <w:r w:rsidRPr="00C66A93">
        <w:rPr>
          <w:rFonts w:cs="Times New Roman"/>
          <w:lang w:val="en-US"/>
        </w:rPr>
        <w:t>[1]</w:t>
      </w:r>
      <w:r>
        <w:rPr>
          <w:lang w:val="en-US"/>
        </w:rPr>
        <w:t xml:space="preserve">, we have </w:t>
      </w:r>
      <w:r w:rsidR="005B1224">
        <w:rPr>
          <w:lang w:val="en-US"/>
        </w:rPr>
        <w:t>developed</w:t>
      </w:r>
      <w:r w:rsidR="001B5394">
        <w:rPr>
          <w:lang w:val="en-US"/>
        </w:rPr>
        <w:t xml:space="preserve"> </w:t>
      </w:r>
      <w:r w:rsidR="005B1224">
        <w:rPr>
          <w:lang w:val="en-US"/>
        </w:rPr>
        <w:t>our own</w:t>
      </w:r>
      <w:r>
        <w:rPr>
          <w:lang w:val="en-US"/>
        </w:rPr>
        <w:t xml:space="preserve"> miniaturized assay to explore the saccharification potential of 10 </w:t>
      </w:r>
      <w:r>
        <w:rPr>
          <w:i/>
          <w:lang w:val="en-US"/>
        </w:rPr>
        <w:t xml:space="preserve">Populus </w:t>
      </w:r>
      <w:proofErr w:type="spellStart"/>
      <w:r>
        <w:rPr>
          <w:i/>
          <w:lang w:val="en-US"/>
        </w:rPr>
        <w:t>deltoides</w:t>
      </w:r>
      <w:proofErr w:type="spellEnd"/>
      <w:r>
        <w:rPr>
          <w:i/>
          <w:lang w:val="en-US"/>
        </w:rPr>
        <w:t xml:space="preserve"> x trichocarpa </w:t>
      </w:r>
      <w:r w:rsidRPr="00E72338">
        <w:rPr>
          <w:lang w:val="en-US"/>
        </w:rPr>
        <w:t>genotype</w:t>
      </w:r>
      <w:r w:rsidRPr="001B5394">
        <w:rPr>
          <w:lang w:val="en-US"/>
        </w:rPr>
        <w:t>s</w:t>
      </w:r>
      <w:r>
        <w:rPr>
          <w:lang w:val="en-US"/>
        </w:rPr>
        <w:t xml:space="preserve"> grown under short (SRC) and very short (</w:t>
      </w:r>
      <w:proofErr w:type="spellStart"/>
      <w:r>
        <w:rPr>
          <w:lang w:val="en-US"/>
        </w:rPr>
        <w:t>vSRC</w:t>
      </w:r>
      <w:proofErr w:type="spellEnd"/>
      <w:r>
        <w:rPr>
          <w:lang w:val="en-US"/>
        </w:rPr>
        <w:t xml:space="preserve">) rotation coppice conditions. For this purpose, we have used a </w:t>
      </w:r>
      <w:r w:rsidR="00B4473B" w:rsidRPr="00E72338">
        <w:rPr>
          <w:lang w:val="en-US"/>
        </w:rPr>
        <w:t xml:space="preserve">high-throughput </w:t>
      </w:r>
      <w:r w:rsidR="002269A3">
        <w:rPr>
          <w:lang w:val="en-US"/>
        </w:rPr>
        <w:t xml:space="preserve">automate system </w:t>
      </w:r>
      <w:r w:rsidR="00B4473B">
        <w:rPr>
          <w:lang w:val="en-US"/>
        </w:rPr>
        <w:t>based</w:t>
      </w:r>
      <w:r w:rsidR="002269A3">
        <w:rPr>
          <w:lang w:val="en-US"/>
        </w:rPr>
        <w:t xml:space="preserve"> on</w:t>
      </w:r>
      <w:r w:rsidR="00B4473B">
        <w:rPr>
          <w:lang w:val="en-US"/>
        </w:rPr>
        <w:t xml:space="preserve"> </w:t>
      </w:r>
      <w:r w:rsidR="002269A3">
        <w:rPr>
          <w:lang w:val="en-US"/>
        </w:rPr>
        <w:t>metal reactors and</w:t>
      </w:r>
      <w:r w:rsidR="00B4473B" w:rsidRPr="00E72338">
        <w:rPr>
          <w:lang w:val="en-US"/>
        </w:rPr>
        <w:t xml:space="preserve"> </w:t>
      </w:r>
      <w:r w:rsidR="002269A3">
        <w:rPr>
          <w:lang w:val="en-US"/>
        </w:rPr>
        <w:t xml:space="preserve">96-well </w:t>
      </w:r>
      <w:r w:rsidR="00B4473B" w:rsidRPr="00E72338">
        <w:rPr>
          <w:lang w:val="en-US"/>
        </w:rPr>
        <w:t xml:space="preserve">microplate </w:t>
      </w:r>
      <w:r w:rsidR="002269A3">
        <w:rPr>
          <w:lang w:val="en-US"/>
        </w:rPr>
        <w:t xml:space="preserve">devices. The system allows </w:t>
      </w:r>
      <w:proofErr w:type="gramStart"/>
      <w:r>
        <w:rPr>
          <w:lang w:val="en-US"/>
        </w:rPr>
        <w:t xml:space="preserve">to </w:t>
      </w:r>
      <w:r w:rsidR="00A62D60">
        <w:rPr>
          <w:lang w:val="en-US"/>
        </w:rPr>
        <w:t>perform</w:t>
      </w:r>
      <w:proofErr w:type="gramEnd"/>
      <w:r w:rsidR="00A62D60">
        <w:rPr>
          <w:lang w:val="en-US"/>
        </w:rPr>
        <w:t xml:space="preserve"> </w:t>
      </w:r>
      <w:proofErr w:type="spellStart"/>
      <w:r w:rsidR="00A62D60">
        <w:rPr>
          <w:lang w:val="en-US"/>
        </w:rPr>
        <w:t>hygrothermal</w:t>
      </w:r>
      <w:proofErr w:type="spellEnd"/>
      <w:r w:rsidR="00A62D60">
        <w:rPr>
          <w:lang w:val="en-US"/>
        </w:rPr>
        <w:t xml:space="preserve"> pretreatment (</w:t>
      </w:r>
      <w:r>
        <w:rPr>
          <w:lang w:val="en-US"/>
        </w:rPr>
        <w:t xml:space="preserve">180°C, 40 </w:t>
      </w:r>
      <w:proofErr w:type="spellStart"/>
      <w:r w:rsidR="007B6AEB">
        <w:rPr>
          <w:lang w:val="en-US"/>
        </w:rPr>
        <w:t>mn</w:t>
      </w:r>
      <w:proofErr w:type="spellEnd"/>
      <w:r>
        <w:rPr>
          <w:lang w:val="en-US"/>
        </w:rPr>
        <w:t xml:space="preserve">) </w:t>
      </w:r>
      <w:r w:rsidR="00A62D60">
        <w:rPr>
          <w:lang w:val="en-US"/>
        </w:rPr>
        <w:t xml:space="preserve">on 5 mg biomass followed by enzymatic </w:t>
      </w:r>
      <w:r>
        <w:rPr>
          <w:lang w:val="en-US"/>
        </w:rPr>
        <w:t xml:space="preserve">saccharification using </w:t>
      </w:r>
      <w:proofErr w:type="spellStart"/>
      <w:r>
        <w:rPr>
          <w:lang w:val="en-US"/>
        </w:rPr>
        <w:t>Cellic</w:t>
      </w:r>
      <w:proofErr w:type="spellEnd"/>
      <w:r>
        <w:rPr>
          <w:lang w:val="en-US"/>
        </w:rPr>
        <w:t xml:space="preserve"> CTec2 </w:t>
      </w:r>
      <w:r w:rsidR="00A62D60">
        <w:rPr>
          <w:lang w:val="en-US"/>
        </w:rPr>
        <w:t>at high loading levels.</w:t>
      </w:r>
      <w:r w:rsidR="007B6AEB">
        <w:rPr>
          <w:lang w:val="en-US"/>
        </w:rPr>
        <w:t xml:space="preserve"> </w:t>
      </w:r>
      <w:r>
        <w:rPr>
          <w:lang w:val="en-US"/>
        </w:rPr>
        <w:t xml:space="preserve">This experimental set-up has also been evaluated and shown very good results </w:t>
      </w:r>
      <w:r w:rsidR="00A62D60">
        <w:rPr>
          <w:lang w:val="en-US"/>
        </w:rPr>
        <w:t xml:space="preserve">with </w:t>
      </w:r>
      <w:r>
        <w:rPr>
          <w:lang w:val="en-US"/>
        </w:rPr>
        <w:t xml:space="preserve">regards to </w:t>
      </w:r>
      <w:r w:rsidR="00A62D60">
        <w:rPr>
          <w:lang w:val="en-US"/>
        </w:rPr>
        <w:t xml:space="preserve">precision of </w:t>
      </w:r>
      <w:r>
        <w:rPr>
          <w:lang w:val="en-US"/>
        </w:rPr>
        <w:t xml:space="preserve">biomass dispensing, microplate sealing and repeatability performance. </w:t>
      </w:r>
      <w:r w:rsidR="00472C4E">
        <w:rPr>
          <w:lang w:val="en-US"/>
        </w:rPr>
        <w:t>Our approach is based on the comparison of the sugar release variability after saccharification of untreated and pretreated samples.</w:t>
      </w:r>
    </w:p>
    <w:p w14:paraId="22E334E7" w14:textId="6DC5FF92" w:rsidR="00472C4E" w:rsidRPr="00F02FA6" w:rsidRDefault="004B2834" w:rsidP="00472C4E">
      <w:pPr>
        <w:jc w:val="both"/>
        <w:rPr>
          <w:sz w:val="20"/>
          <w:szCs w:val="20"/>
          <w:lang w:val="en-US"/>
        </w:rPr>
      </w:pPr>
      <w:r>
        <w:rPr>
          <w:lang w:val="en-US"/>
        </w:rPr>
        <w:t xml:space="preserve">Interestingly, our results indicate clearly that pretreatment step is very useful for lignocellulosic biomass screening purpose since more variability in glucose release is observed when saccharification is preceded by hot water treatment. Indeed, glucose yields ranged between 15% and 30% without pretreatment while they were between 57% and 88% after pretreatment. Our results indicate that SRC and </w:t>
      </w:r>
      <w:proofErr w:type="spellStart"/>
      <w:r>
        <w:rPr>
          <w:lang w:val="en-US"/>
        </w:rPr>
        <w:t>vSRC</w:t>
      </w:r>
      <w:proofErr w:type="spellEnd"/>
      <w:r>
        <w:rPr>
          <w:lang w:val="en-US"/>
        </w:rPr>
        <w:t xml:space="preserve"> poplars behave differently: </w:t>
      </w:r>
      <w:proofErr w:type="spellStart"/>
      <w:r>
        <w:rPr>
          <w:lang w:val="en-US"/>
        </w:rPr>
        <w:t>vSRC</w:t>
      </w:r>
      <w:proofErr w:type="spellEnd"/>
      <w:r>
        <w:rPr>
          <w:lang w:val="en-US"/>
        </w:rPr>
        <w:t xml:space="preserve"> samples </w:t>
      </w:r>
      <w:r w:rsidR="007B6AEB">
        <w:rPr>
          <w:lang w:val="en-US"/>
        </w:rPr>
        <w:t>were</w:t>
      </w:r>
      <w:r>
        <w:rPr>
          <w:lang w:val="en-US"/>
        </w:rPr>
        <w:t xml:space="preserve"> more digestible than SRC one’s before pretreatment while no significant difference was observed after pretreatment. </w:t>
      </w:r>
      <w:r w:rsidR="00472C4E">
        <w:rPr>
          <w:lang w:val="en-US"/>
        </w:rPr>
        <w:t xml:space="preserve">Seven years old </w:t>
      </w:r>
      <w:r w:rsidR="00472C4E" w:rsidRPr="00E72338">
        <w:rPr>
          <w:lang w:val="en-US"/>
        </w:rPr>
        <w:t>miscanthus</w:t>
      </w:r>
      <w:r w:rsidR="00472C4E">
        <w:rPr>
          <w:lang w:val="en-US"/>
        </w:rPr>
        <w:t xml:space="preserve"> from </w:t>
      </w:r>
      <w:r w:rsidR="008A18C5">
        <w:rPr>
          <w:lang w:val="en-US"/>
        </w:rPr>
        <w:t xml:space="preserve">three </w:t>
      </w:r>
      <w:r w:rsidR="00472C4E">
        <w:rPr>
          <w:lang w:val="en-US"/>
        </w:rPr>
        <w:t xml:space="preserve">species </w:t>
      </w:r>
      <w:r w:rsidR="00A9495B">
        <w:rPr>
          <w:lang w:val="en-US"/>
        </w:rPr>
        <w:t>follow the same trend</w:t>
      </w:r>
      <w:r w:rsidR="00472C4E">
        <w:rPr>
          <w:lang w:val="en-US"/>
        </w:rPr>
        <w:t xml:space="preserve"> </w:t>
      </w:r>
      <w:r w:rsidR="00A9495B">
        <w:rPr>
          <w:lang w:val="en-US"/>
        </w:rPr>
        <w:t xml:space="preserve">with </w:t>
      </w:r>
      <w:r w:rsidR="00472C4E">
        <w:rPr>
          <w:lang w:val="en-US"/>
        </w:rPr>
        <w:t xml:space="preserve">glucose yields </w:t>
      </w:r>
      <w:r w:rsidR="00A9495B">
        <w:rPr>
          <w:lang w:val="en-US"/>
        </w:rPr>
        <w:t>ranging</w:t>
      </w:r>
      <w:r w:rsidR="00472C4E">
        <w:rPr>
          <w:lang w:val="en-US"/>
        </w:rPr>
        <w:t xml:space="preserve"> between 20% and 71% without pretreatment and between 40% and 92% after hot water treatment.</w:t>
      </w:r>
    </w:p>
    <w:p w14:paraId="5698152F" w14:textId="525B999F" w:rsidR="005B1224" w:rsidRDefault="005B1224" w:rsidP="00472C4E">
      <w:pPr>
        <w:jc w:val="both"/>
        <w:rPr>
          <w:lang w:val="en-US"/>
        </w:rPr>
      </w:pPr>
      <w:r>
        <w:rPr>
          <w:lang w:val="en-US"/>
        </w:rPr>
        <w:t>This original approach makes it possible to screen lignocellulosic biomass while evaluating the impact on saccharification potential of several factors such as the biomass particle size, the pretreatment duration and severity, and the enzyme loading</w:t>
      </w:r>
      <w:r>
        <w:rPr>
          <w:lang w:val="en-US"/>
        </w:rPr>
        <w:t>.</w:t>
      </w:r>
    </w:p>
    <w:p w14:paraId="1F214DB1" w14:textId="77777777" w:rsidR="005B1224" w:rsidRDefault="005B1224" w:rsidP="00472C4E">
      <w:pPr>
        <w:jc w:val="both"/>
        <w:rPr>
          <w:lang w:val="en-US"/>
        </w:rPr>
      </w:pPr>
    </w:p>
    <w:p w14:paraId="7133BD2D" w14:textId="237187DD" w:rsidR="00472C4E" w:rsidRPr="005B1224" w:rsidRDefault="004C7137" w:rsidP="00472C4E">
      <w:pPr>
        <w:jc w:val="both"/>
        <w:rPr>
          <w:i/>
          <w:sz w:val="22"/>
          <w:szCs w:val="22"/>
          <w:lang w:val="en-US"/>
        </w:rPr>
      </w:pPr>
      <w:r w:rsidRPr="005B1224">
        <w:rPr>
          <w:sz w:val="22"/>
          <w:szCs w:val="22"/>
          <w:lang w:val="en-US"/>
        </w:rPr>
        <w:t xml:space="preserve">Acknowledgement: this work was funded by </w:t>
      </w:r>
      <w:proofErr w:type="spellStart"/>
      <w:r w:rsidRPr="005B1224">
        <w:rPr>
          <w:i/>
          <w:sz w:val="22"/>
          <w:szCs w:val="22"/>
          <w:lang w:val="en-US"/>
        </w:rPr>
        <w:t>BPIFrance</w:t>
      </w:r>
      <w:proofErr w:type="spellEnd"/>
      <w:r w:rsidRPr="005B1224">
        <w:rPr>
          <w:sz w:val="22"/>
          <w:szCs w:val="22"/>
          <w:lang w:val="en-US"/>
        </w:rPr>
        <w:t xml:space="preserve"> in the project </w:t>
      </w:r>
      <w:r w:rsidRPr="005B1224">
        <w:rPr>
          <w:i/>
          <w:sz w:val="22"/>
          <w:szCs w:val="22"/>
          <w:lang w:val="en-US"/>
        </w:rPr>
        <w:t>Futurol</w:t>
      </w:r>
    </w:p>
    <w:p w14:paraId="73572FF0" w14:textId="77777777" w:rsidR="00C9699B" w:rsidRPr="00472C4E" w:rsidRDefault="00C9699B" w:rsidP="00472C4E">
      <w:pPr>
        <w:jc w:val="both"/>
        <w:rPr>
          <w:sz w:val="22"/>
          <w:szCs w:val="22"/>
          <w:lang w:val="en-US"/>
        </w:rPr>
      </w:pPr>
    </w:p>
    <w:p w14:paraId="68ED63BA" w14:textId="77777777" w:rsidR="00472C4E" w:rsidRPr="00472C4E" w:rsidRDefault="0017033F" w:rsidP="00472C4E">
      <w:pPr>
        <w:widowControl w:val="0"/>
        <w:autoSpaceDE w:val="0"/>
        <w:autoSpaceDN w:val="0"/>
        <w:adjustRightInd w:val="0"/>
        <w:jc w:val="both"/>
        <w:rPr>
          <w:rFonts w:cs="Times New Roman"/>
          <w:sz w:val="22"/>
          <w:szCs w:val="22"/>
          <w:u w:val="single"/>
          <w:lang w:val="en-US"/>
        </w:rPr>
      </w:pPr>
      <w:r>
        <w:rPr>
          <w:rFonts w:cs="Times New Roman"/>
          <w:sz w:val="22"/>
          <w:szCs w:val="22"/>
          <w:u w:val="single"/>
          <w:lang w:val="en-US"/>
        </w:rPr>
        <w:t>Reference</w:t>
      </w:r>
    </w:p>
    <w:p w14:paraId="72E8369D" w14:textId="55DA63CD" w:rsidR="005B1224" w:rsidRPr="005B1224" w:rsidRDefault="00472C4E" w:rsidP="00021DA9">
      <w:pPr>
        <w:autoSpaceDE w:val="0"/>
        <w:autoSpaceDN w:val="0"/>
        <w:adjustRightInd w:val="0"/>
        <w:jc w:val="both"/>
        <w:rPr>
          <w:noProof/>
          <w:sz w:val="22"/>
          <w:szCs w:val="22"/>
          <w:lang w:val="en-US"/>
        </w:rPr>
      </w:pPr>
      <w:r w:rsidRPr="00021DA9">
        <w:rPr>
          <w:rFonts w:cs="Times New Roman"/>
          <w:sz w:val="22"/>
          <w:szCs w:val="22"/>
          <w:lang w:val="en-US"/>
        </w:rPr>
        <w:t>[1] </w:t>
      </w:r>
      <w:r w:rsidR="00021DA9">
        <w:rPr>
          <w:rFonts w:eastAsia="Times New Roman" w:cs="RotisSansSerif-Italic"/>
          <w:iCs/>
          <w:sz w:val="22"/>
          <w:szCs w:val="22"/>
          <w:lang w:val="en-US" w:eastAsia="en-US"/>
        </w:rPr>
        <w:t>M.J. Selig, M.P.</w:t>
      </w:r>
      <w:r w:rsidR="00021DA9" w:rsidRPr="00021DA9">
        <w:rPr>
          <w:rFonts w:eastAsia="Times New Roman" w:cs="RotisSansSerif-Italic"/>
          <w:iCs/>
          <w:sz w:val="22"/>
          <w:szCs w:val="22"/>
          <w:lang w:val="en-US" w:eastAsia="en-US"/>
        </w:rPr>
        <w:t xml:space="preserve"> Tucker</w:t>
      </w:r>
      <w:r w:rsidR="00021DA9">
        <w:rPr>
          <w:rFonts w:eastAsia="Times New Roman" w:cs="RotisSansSerif-Italic"/>
          <w:iCs/>
          <w:sz w:val="22"/>
          <w:szCs w:val="22"/>
          <w:lang w:val="en-US" w:eastAsia="en-US"/>
        </w:rPr>
        <w:t>, R.W.</w:t>
      </w:r>
      <w:r w:rsidR="00021DA9" w:rsidRPr="00021DA9">
        <w:rPr>
          <w:rFonts w:eastAsia="Times New Roman" w:cs="RotisSansSerif-Italic"/>
          <w:iCs/>
          <w:sz w:val="22"/>
          <w:szCs w:val="22"/>
          <w:lang w:val="en-US" w:eastAsia="en-US"/>
        </w:rPr>
        <w:t xml:space="preserve"> Sykes</w:t>
      </w:r>
      <w:r w:rsidR="00021DA9">
        <w:rPr>
          <w:rFonts w:eastAsia="Times New Roman" w:cs="RotisSansSerif-Italic"/>
          <w:iCs/>
          <w:sz w:val="22"/>
          <w:szCs w:val="22"/>
          <w:lang w:val="en-US" w:eastAsia="en-US"/>
        </w:rPr>
        <w:t>,</w:t>
      </w:r>
      <w:r w:rsidR="00021DA9" w:rsidRPr="00021DA9">
        <w:rPr>
          <w:rFonts w:eastAsia="Times New Roman" w:cs="RotisSansSerif-Italic"/>
          <w:iCs/>
          <w:sz w:val="22"/>
          <w:szCs w:val="22"/>
          <w:lang w:val="en-US" w:eastAsia="en-US"/>
        </w:rPr>
        <w:t xml:space="preserve"> </w:t>
      </w:r>
      <w:r w:rsidR="00021DA9">
        <w:rPr>
          <w:rFonts w:eastAsia="Times New Roman" w:cs="RotisSansSerif-Italic"/>
          <w:iCs/>
          <w:sz w:val="22"/>
          <w:szCs w:val="22"/>
          <w:lang w:val="en-US" w:eastAsia="en-US"/>
        </w:rPr>
        <w:t xml:space="preserve">K.L. </w:t>
      </w:r>
      <w:proofErr w:type="spellStart"/>
      <w:r w:rsidR="00021DA9" w:rsidRPr="00021DA9">
        <w:rPr>
          <w:rFonts w:eastAsia="Times New Roman" w:cs="RotisSansSerif-Italic"/>
          <w:iCs/>
          <w:sz w:val="22"/>
          <w:szCs w:val="22"/>
          <w:lang w:val="en-US" w:eastAsia="en-US"/>
        </w:rPr>
        <w:t>Reichel</w:t>
      </w:r>
      <w:proofErr w:type="spellEnd"/>
      <w:r w:rsidR="00021DA9">
        <w:rPr>
          <w:rFonts w:eastAsia="Times New Roman" w:cs="RotisSansSerif-Italic"/>
          <w:iCs/>
          <w:sz w:val="22"/>
          <w:szCs w:val="22"/>
          <w:lang w:val="en-US" w:eastAsia="en-US"/>
        </w:rPr>
        <w:t xml:space="preserve">, R. </w:t>
      </w:r>
      <w:proofErr w:type="spellStart"/>
      <w:r w:rsidR="00021DA9" w:rsidRPr="00021DA9">
        <w:rPr>
          <w:rFonts w:eastAsia="Times New Roman" w:cs="RotisSansSerif-Italic"/>
          <w:iCs/>
          <w:sz w:val="22"/>
          <w:szCs w:val="22"/>
          <w:lang w:val="en-US" w:eastAsia="en-US"/>
        </w:rPr>
        <w:t>Brunecky</w:t>
      </w:r>
      <w:proofErr w:type="spellEnd"/>
      <w:r w:rsidR="00021DA9">
        <w:rPr>
          <w:rFonts w:eastAsia="Times New Roman" w:cs="RotisSansSerif-Italic"/>
          <w:iCs/>
          <w:sz w:val="22"/>
          <w:szCs w:val="22"/>
          <w:lang w:val="en-US" w:eastAsia="en-US"/>
        </w:rPr>
        <w:t>,</w:t>
      </w:r>
      <w:r w:rsidR="00021DA9" w:rsidRPr="00021DA9">
        <w:rPr>
          <w:rFonts w:eastAsia="Times New Roman" w:cs="RotisSansSerif-Italic"/>
          <w:iCs/>
          <w:sz w:val="22"/>
          <w:szCs w:val="22"/>
          <w:lang w:val="en-US" w:eastAsia="en-US"/>
        </w:rPr>
        <w:t xml:space="preserve"> </w:t>
      </w:r>
      <w:r w:rsidR="00021DA9">
        <w:rPr>
          <w:rFonts w:eastAsia="Times New Roman" w:cs="RotisSansSerif-Italic"/>
          <w:iCs/>
          <w:sz w:val="22"/>
          <w:szCs w:val="22"/>
          <w:lang w:val="en-US" w:eastAsia="en-US"/>
        </w:rPr>
        <w:t>M.E.</w:t>
      </w:r>
      <w:r w:rsidR="00021DA9" w:rsidRPr="00021DA9">
        <w:rPr>
          <w:rFonts w:eastAsia="Times New Roman" w:cs="RotisSansSerif-Italic"/>
          <w:iCs/>
          <w:sz w:val="22"/>
          <w:szCs w:val="22"/>
          <w:lang w:val="en-US" w:eastAsia="en-US"/>
        </w:rPr>
        <w:t xml:space="preserve"> </w:t>
      </w:r>
      <w:proofErr w:type="spellStart"/>
      <w:r w:rsidR="00021DA9" w:rsidRPr="00021DA9">
        <w:rPr>
          <w:rFonts w:eastAsia="Times New Roman" w:cs="RotisSansSerif-Italic"/>
          <w:iCs/>
          <w:sz w:val="22"/>
          <w:szCs w:val="22"/>
          <w:lang w:val="en-US" w:eastAsia="en-US"/>
        </w:rPr>
        <w:t>Himmel</w:t>
      </w:r>
      <w:proofErr w:type="spellEnd"/>
      <w:r w:rsidR="00021DA9">
        <w:rPr>
          <w:rFonts w:eastAsia="Times New Roman" w:cs="RotisSansSerif-Italic"/>
          <w:iCs/>
          <w:sz w:val="22"/>
          <w:szCs w:val="22"/>
          <w:lang w:val="en-US" w:eastAsia="en-US"/>
        </w:rPr>
        <w:t>,</w:t>
      </w:r>
      <w:r w:rsidR="00021DA9" w:rsidRPr="00021DA9">
        <w:rPr>
          <w:rFonts w:eastAsia="Times New Roman" w:cs="RotisSansSerif-Italic"/>
          <w:iCs/>
          <w:sz w:val="22"/>
          <w:szCs w:val="22"/>
          <w:lang w:val="en-US" w:eastAsia="en-US"/>
        </w:rPr>
        <w:t xml:space="preserve"> </w:t>
      </w:r>
      <w:r w:rsidR="00021DA9">
        <w:rPr>
          <w:rFonts w:eastAsia="Times New Roman" w:cs="RotisSansSerif-Italic"/>
          <w:iCs/>
          <w:sz w:val="22"/>
          <w:szCs w:val="22"/>
          <w:lang w:val="en-US" w:eastAsia="en-US"/>
        </w:rPr>
        <w:t>M.F.</w:t>
      </w:r>
      <w:r w:rsidR="00021DA9" w:rsidRPr="00021DA9">
        <w:rPr>
          <w:rFonts w:eastAsia="Times New Roman" w:cs="RotisSansSerif-Italic"/>
          <w:iCs/>
          <w:sz w:val="22"/>
          <w:szCs w:val="22"/>
          <w:lang w:val="en-US" w:eastAsia="en-US"/>
        </w:rPr>
        <w:t xml:space="preserve"> Davis</w:t>
      </w:r>
      <w:r w:rsidR="00021DA9">
        <w:rPr>
          <w:rFonts w:eastAsia="Times New Roman" w:cs="RotisSansSerif-Italic"/>
          <w:iCs/>
          <w:sz w:val="22"/>
          <w:szCs w:val="22"/>
          <w:lang w:val="en-US" w:eastAsia="en-US"/>
        </w:rPr>
        <w:t xml:space="preserve"> and S.</w:t>
      </w:r>
      <w:r w:rsidR="00021DA9" w:rsidRPr="00021DA9">
        <w:rPr>
          <w:rFonts w:eastAsia="Times New Roman" w:cs="RotisSansSerif-Italic"/>
          <w:iCs/>
          <w:sz w:val="22"/>
          <w:szCs w:val="22"/>
          <w:lang w:val="en-US" w:eastAsia="en-US"/>
        </w:rPr>
        <w:t xml:space="preserve"> R. Decker</w:t>
      </w:r>
      <w:r w:rsidRPr="00021DA9">
        <w:rPr>
          <w:noProof/>
          <w:sz w:val="22"/>
          <w:szCs w:val="22"/>
          <w:lang w:val="en-US"/>
        </w:rPr>
        <w:t>. Lignocellulose recalcitrance screening by integrated high-throughput hydrothermal pretreatment and enzymatic saccharification. Industrial Biotechnology 6</w:t>
      </w:r>
      <w:r w:rsidR="00021DA9" w:rsidRPr="00021DA9">
        <w:rPr>
          <w:b/>
          <w:noProof/>
          <w:sz w:val="22"/>
          <w:szCs w:val="22"/>
          <w:lang w:val="en-US"/>
        </w:rPr>
        <w:t xml:space="preserve"> </w:t>
      </w:r>
      <w:r w:rsidR="00021DA9" w:rsidRPr="00021DA9">
        <w:rPr>
          <w:noProof/>
          <w:sz w:val="22"/>
          <w:szCs w:val="22"/>
          <w:lang w:val="en-US"/>
        </w:rPr>
        <w:t>(2010)</w:t>
      </w:r>
      <w:r w:rsidRPr="00021DA9">
        <w:rPr>
          <w:noProof/>
          <w:sz w:val="22"/>
          <w:szCs w:val="22"/>
          <w:lang w:val="en-US"/>
        </w:rPr>
        <w:t>, 104-111</w:t>
      </w:r>
      <w:r w:rsidR="00021DA9" w:rsidRPr="00021DA9">
        <w:rPr>
          <w:noProof/>
          <w:sz w:val="22"/>
          <w:szCs w:val="22"/>
          <w:lang w:val="en-US"/>
        </w:rPr>
        <w:t>.</w:t>
      </w:r>
      <w:bookmarkStart w:id="0" w:name="_GoBack"/>
      <w:bookmarkEnd w:id="0"/>
    </w:p>
    <w:sectPr w:rsidR="005B1224" w:rsidRPr="005B122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960B7" w15:done="0"/>
  <w15:commentEx w15:paraId="4816D046" w15:done="0"/>
  <w15:commentEx w15:paraId="2E40DA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tisSansSerif-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Bchabbert2016">
    <w15:presenceInfo w15:providerId="None" w15:userId="PO-Bchabbert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4E"/>
    <w:rsid w:val="00021DA9"/>
    <w:rsid w:val="000C25A9"/>
    <w:rsid w:val="00151426"/>
    <w:rsid w:val="001637EC"/>
    <w:rsid w:val="0017033F"/>
    <w:rsid w:val="001B5394"/>
    <w:rsid w:val="002269A3"/>
    <w:rsid w:val="002413D5"/>
    <w:rsid w:val="002544FA"/>
    <w:rsid w:val="00421B5A"/>
    <w:rsid w:val="00472C4E"/>
    <w:rsid w:val="004B2834"/>
    <w:rsid w:val="004C7137"/>
    <w:rsid w:val="004D0292"/>
    <w:rsid w:val="005B1224"/>
    <w:rsid w:val="005E36AC"/>
    <w:rsid w:val="006B593A"/>
    <w:rsid w:val="007245C4"/>
    <w:rsid w:val="007B6AEB"/>
    <w:rsid w:val="00896922"/>
    <w:rsid w:val="008A18C5"/>
    <w:rsid w:val="00A62D60"/>
    <w:rsid w:val="00A9495B"/>
    <w:rsid w:val="00A96D58"/>
    <w:rsid w:val="00B4473B"/>
    <w:rsid w:val="00C009B2"/>
    <w:rsid w:val="00C17FAC"/>
    <w:rsid w:val="00C9699B"/>
    <w:rsid w:val="00E26499"/>
    <w:rsid w:val="00E72338"/>
    <w:rsid w:val="00EC4B33"/>
    <w:rsid w:val="00F02FA6"/>
    <w:rsid w:val="00F03E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7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4E"/>
    <w:rPr>
      <w:rFonts w:asciiTheme="minorHAnsi" w:eastAsiaTheme="minorEastAsia" w:hAnsiTheme="minorHAnsi" w:cstheme="minorBidi"/>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28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2834"/>
    <w:rPr>
      <w:rFonts w:ascii="Lucida Grande" w:eastAsiaTheme="minorEastAsia" w:hAnsi="Lucida Grande" w:cs="Lucida Grande"/>
      <w:sz w:val="18"/>
      <w:szCs w:val="18"/>
      <w:lang w:eastAsia="fr-FR"/>
    </w:rPr>
  </w:style>
  <w:style w:type="character" w:styleId="Marquedecommentaire">
    <w:name w:val="annotation reference"/>
    <w:basedOn w:val="Policepardfaut"/>
    <w:uiPriority w:val="99"/>
    <w:semiHidden/>
    <w:unhideWhenUsed/>
    <w:rsid w:val="00B4473B"/>
    <w:rPr>
      <w:sz w:val="16"/>
      <w:szCs w:val="16"/>
    </w:rPr>
  </w:style>
  <w:style w:type="paragraph" w:styleId="Commentaire">
    <w:name w:val="annotation text"/>
    <w:basedOn w:val="Normal"/>
    <w:link w:val="CommentaireCar"/>
    <w:uiPriority w:val="99"/>
    <w:semiHidden/>
    <w:unhideWhenUsed/>
    <w:rsid w:val="00B4473B"/>
    <w:rPr>
      <w:sz w:val="20"/>
      <w:szCs w:val="20"/>
    </w:rPr>
  </w:style>
  <w:style w:type="character" w:customStyle="1" w:styleId="CommentaireCar">
    <w:name w:val="Commentaire Car"/>
    <w:basedOn w:val="Policepardfaut"/>
    <w:link w:val="Commentaire"/>
    <w:uiPriority w:val="99"/>
    <w:semiHidden/>
    <w:rsid w:val="00B4473B"/>
    <w:rPr>
      <w:rFonts w:asciiTheme="minorHAnsi" w:eastAsiaTheme="minorEastAsia" w:hAnsiTheme="minorHAnsi" w:cstheme="minorBidi"/>
      <w:lang w:eastAsia="fr-FR"/>
    </w:rPr>
  </w:style>
  <w:style w:type="paragraph" w:styleId="Objetducommentaire">
    <w:name w:val="annotation subject"/>
    <w:basedOn w:val="Commentaire"/>
    <w:next w:val="Commentaire"/>
    <w:link w:val="ObjetducommentaireCar"/>
    <w:uiPriority w:val="99"/>
    <w:semiHidden/>
    <w:unhideWhenUsed/>
    <w:rsid w:val="00B4473B"/>
    <w:rPr>
      <w:b/>
      <w:bCs/>
    </w:rPr>
  </w:style>
  <w:style w:type="character" w:customStyle="1" w:styleId="ObjetducommentaireCar">
    <w:name w:val="Objet du commentaire Car"/>
    <w:basedOn w:val="CommentaireCar"/>
    <w:link w:val="Objetducommentaire"/>
    <w:uiPriority w:val="99"/>
    <w:semiHidden/>
    <w:rsid w:val="00B4473B"/>
    <w:rPr>
      <w:rFonts w:asciiTheme="minorHAnsi" w:eastAsiaTheme="minorEastAsia" w:hAnsiTheme="minorHAnsi" w:cstheme="minorBidi"/>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4E"/>
    <w:rPr>
      <w:rFonts w:asciiTheme="minorHAnsi" w:eastAsiaTheme="minorEastAsia" w:hAnsiTheme="minorHAnsi" w:cstheme="minorBidi"/>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283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2834"/>
    <w:rPr>
      <w:rFonts w:ascii="Lucida Grande" w:eastAsiaTheme="minorEastAsia" w:hAnsi="Lucida Grande" w:cs="Lucida Grande"/>
      <w:sz w:val="18"/>
      <w:szCs w:val="18"/>
      <w:lang w:eastAsia="fr-FR"/>
    </w:rPr>
  </w:style>
  <w:style w:type="character" w:styleId="Marquedecommentaire">
    <w:name w:val="annotation reference"/>
    <w:basedOn w:val="Policepardfaut"/>
    <w:uiPriority w:val="99"/>
    <w:semiHidden/>
    <w:unhideWhenUsed/>
    <w:rsid w:val="00B4473B"/>
    <w:rPr>
      <w:sz w:val="16"/>
      <w:szCs w:val="16"/>
    </w:rPr>
  </w:style>
  <w:style w:type="paragraph" w:styleId="Commentaire">
    <w:name w:val="annotation text"/>
    <w:basedOn w:val="Normal"/>
    <w:link w:val="CommentaireCar"/>
    <w:uiPriority w:val="99"/>
    <w:semiHidden/>
    <w:unhideWhenUsed/>
    <w:rsid w:val="00B4473B"/>
    <w:rPr>
      <w:sz w:val="20"/>
      <w:szCs w:val="20"/>
    </w:rPr>
  </w:style>
  <w:style w:type="character" w:customStyle="1" w:styleId="CommentaireCar">
    <w:name w:val="Commentaire Car"/>
    <w:basedOn w:val="Policepardfaut"/>
    <w:link w:val="Commentaire"/>
    <w:uiPriority w:val="99"/>
    <w:semiHidden/>
    <w:rsid w:val="00B4473B"/>
    <w:rPr>
      <w:rFonts w:asciiTheme="minorHAnsi" w:eastAsiaTheme="minorEastAsia" w:hAnsiTheme="minorHAnsi" w:cstheme="minorBidi"/>
      <w:lang w:eastAsia="fr-FR"/>
    </w:rPr>
  </w:style>
  <w:style w:type="paragraph" w:styleId="Objetducommentaire">
    <w:name w:val="annotation subject"/>
    <w:basedOn w:val="Commentaire"/>
    <w:next w:val="Commentaire"/>
    <w:link w:val="ObjetducommentaireCar"/>
    <w:uiPriority w:val="99"/>
    <w:semiHidden/>
    <w:unhideWhenUsed/>
    <w:rsid w:val="00B4473B"/>
    <w:rPr>
      <w:b/>
      <w:bCs/>
    </w:rPr>
  </w:style>
  <w:style w:type="character" w:customStyle="1" w:styleId="ObjetducommentaireCar">
    <w:name w:val="Objet du commentaire Car"/>
    <w:basedOn w:val="CommentaireCar"/>
    <w:link w:val="Objetducommentaire"/>
    <w:uiPriority w:val="99"/>
    <w:semiHidden/>
    <w:rsid w:val="00B4473B"/>
    <w:rPr>
      <w:rFonts w:asciiTheme="minorHAnsi" w:eastAsiaTheme="minorEastAsia" w:hAnsiTheme="minorHAnsi" w:cstheme="minorBidi"/>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2</cp:revision>
  <dcterms:created xsi:type="dcterms:W3CDTF">2016-05-25T10:14:00Z</dcterms:created>
  <dcterms:modified xsi:type="dcterms:W3CDTF">2016-05-25T10:14:00Z</dcterms:modified>
</cp:coreProperties>
</file>