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F0" w:rsidRPr="00214DAD" w:rsidRDefault="00CC73AE" w:rsidP="004838F0">
      <w:pPr>
        <w:jc w:val="center"/>
        <w:rPr>
          <w:lang w:val="en-US"/>
        </w:rPr>
      </w:pPr>
      <w:bookmarkStart w:id="0" w:name="_GoBack"/>
      <w:bookmarkEnd w:id="0"/>
      <w:r w:rsidRPr="00214DAD">
        <w:rPr>
          <w:rFonts w:ascii="Arial" w:hAnsi="Arial" w:cs="Arial"/>
          <w:b/>
        </w:rPr>
        <w:t>Quantitative prediction of genome-wide resource allocation in bacteria</w:t>
      </w:r>
      <w:r w:rsidRPr="00214DAD">
        <w:rPr>
          <w:u w:val="single"/>
          <w:lang w:val="en-US"/>
        </w:rPr>
        <w:t xml:space="preserve"> </w:t>
      </w:r>
    </w:p>
    <w:p w:rsidR="00CC73AE" w:rsidRPr="00214DAD" w:rsidRDefault="00CC73AE" w:rsidP="00CC73AE">
      <w:pPr>
        <w:jc w:val="both"/>
      </w:pPr>
      <w:r w:rsidRPr="00214DAD">
        <w:rPr>
          <w:u w:val="single"/>
        </w:rPr>
        <w:t>Anne Goelzer</w:t>
      </w:r>
      <w:r w:rsidRPr="00214DAD">
        <w:rPr>
          <w:u w:val="single"/>
          <w:vertAlign w:val="superscript"/>
        </w:rPr>
        <w:t>1</w:t>
      </w:r>
      <w:r w:rsidRPr="00214DAD">
        <w:t>, Jan Muntel</w:t>
      </w:r>
      <w:r w:rsidRPr="00214DAD">
        <w:rPr>
          <w:vertAlign w:val="superscript"/>
        </w:rPr>
        <w:t>2</w:t>
      </w:r>
      <w:r w:rsidRPr="00214DAD">
        <w:t>, Victor Chubukov</w:t>
      </w:r>
      <w:r w:rsidRPr="00214DAD">
        <w:rPr>
          <w:vertAlign w:val="superscript"/>
        </w:rPr>
        <w:t>3</w:t>
      </w:r>
      <w:r w:rsidRPr="00214DAD">
        <w:t>, Matthieu Jules</w:t>
      </w:r>
      <w:r w:rsidRPr="00214DAD">
        <w:rPr>
          <w:vertAlign w:val="superscript"/>
        </w:rPr>
        <w:t>4</w:t>
      </w:r>
      <w:r w:rsidRPr="00214DAD">
        <w:t>, Eric Prestel</w:t>
      </w:r>
      <w:r w:rsidRPr="00214DAD">
        <w:rPr>
          <w:vertAlign w:val="superscript"/>
        </w:rPr>
        <w:t>4</w:t>
      </w:r>
      <w:r w:rsidRPr="00214DAD">
        <w:t>, Rolf Nölker</w:t>
      </w:r>
      <w:r w:rsidRPr="00214DAD">
        <w:rPr>
          <w:vertAlign w:val="superscript"/>
        </w:rPr>
        <w:t>2</w:t>
      </w:r>
      <w:r w:rsidRPr="00214DAD">
        <w:t>, Mahendra Mariadassou</w:t>
      </w:r>
      <w:r w:rsidRPr="00214DAD">
        <w:rPr>
          <w:vertAlign w:val="superscript"/>
        </w:rPr>
        <w:t>1</w:t>
      </w:r>
      <w:r w:rsidRPr="00214DAD">
        <w:t>, Stéphane Aymerich</w:t>
      </w:r>
      <w:r w:rsidRPr="00214DAD">
        <w:rPr>
          <w:vertAlign w:val="superscript"/>
        </w:rPr>
        <w:t>4</w:t>
      </w:r>
      <w:r w:rsidRPr="00214DAD">
        <w:t>, Michael Hecker</w:t>
      </w:r>
      <w:r w:rsidRPr="00214DAD">
        <w:rPr>
          <w:vertAlign w:val="superscript"/>
        </w:rPr>
        <w:t>2</w:t>
      </w:r>
      <w:r w:rsidRPr="00214DAD">
        <w:t>, Philippe Noirot</w:t>
      </w:r>
      <w:r w:rsidRPr="00214DAD">
        <w:rPr>
          <w:vertAlign w:val="superscript"/>
        </w:rPr>
        <w:t>4</w:t>
      </w:r>
      <w:r w:rsidRPr="00214DAD">
        <w:t>, Dörte Becher</w:t>
      </w:r>
      <w:r w:rsidRPr="00214DAD">
        <w:rPr>
          <w:vertAlign w:val="superscript"/>
        </w:rPr>
        <w:t>2</w:t>
      </w:r>
      <w:r w:rsidRPr="00214DAD">
        <w:t>, and Vincent Fromion</w:t>
      </w:r>
      <w:r w:rsidRPr="00214DAD">
        <w:rPr>
          <w:vertAlign w:val="superscript"/>
        </w:rPr>
        <w:t>1</w:t>
      </w:r>
      <w:r w:rsidRPr="00214DAD">
        <w:t>.</w:t>
      </w:r>
    </w:p>
    <w:p w:rsidR="00CC73AE" w:rsidRPr="00214DAD" w:rsidRDefault="00CC73AE" w:rsidP="00CC73AE">
      <w:pPr>
        <w:jc w:val="both"/>
        <w:rPr>
          <w:lang w:val="fr-FR"/>
        </w:rPr>
      </w:pPr>
      <w:r w:rsidRPr="00214DAD">
        <w:rPr>
          <w:vertAlign w:val="superscript"/>
          <w:lang w:val="fr-FR"/>
        </w:rPr>
        <w:t>1</w:t>
      </w:r>
      <w:r w:rsidR="00D06203">
        <w:rPr>
          <w:lang w:val="fr-FR"/>
        </w:rPr>
        <w:t>UR1404</w:t>
      </w:r>
      <w:r w:rsidR="00991911" w:rsidRPr="00214DAD">
        <w:rPr>
          <w:lang w:val="fr-FR"/>
        </w:rPr>
        <w:t xml:space="preserve"> </w:t>
      </w:r>
      <w:proofErr w:type="spellStart"/>
      <w:r w:rsidR="00991911" w:rsidRPr="00214DAD">
        <w:rPr>
          <w:lang w:val="fr-FR"/>
        </w:rPr>
        <w:t>MaIAGE</w:t>
      </w:r>
      <w:proofErr w:type="spellEnd"/>
      <w:r w:rsidR="00991911" w:rsidRPr="00214DAD">
        <w:rPr>
          <w:lang w:val="fr-FR"/>
        </w:rPr>
        <w:t xml:space="preserve">, </w:t>
      </w:r>
      <w:r w:rsidRPr="00214DAD">
        <w:rPr>
          <w:lang w:val="fr-FR"/>
        </w:rPr>
        <w:t xml:space="preserve">INRA, </w:t>
      </w:r>
      <w:r w:rsidR="00991911" w:rsidRPr="00991911">
        <w:rPr>
          <w:lang w:val="fr-FR"/>
        </w:rPr>
        <w:t xml:space="preserve">Université Paris-Saclay, </w:t>
      </w:r>
      <w:r w:rsidRPr="00214DAD">
        <w:rPr>
          <w:lang w:val="fr-FR"/>
        </w:rPr>
        <w:t>F-78350 Jouy-en-Josas, France.</w:t>
      </w:r>
    </w:p>
    <w:p w:rsidR="00CC73AE" w:rsidRPr="00214DAD" w:rsidRDefault="00CC73AE" w:rsidP="00CC73AE">
      <w:pPr>
        <w:jc w:val="both"/>
      </w:pPr>
      <w:r w:rsidRPr="00214DAD">
        <w:rPr>
          <w:vertAlign w:val="superscript"/>
        </w:rPr>
        <w:t>2</w:t>
      </w:r>
      <w:r w:rsidRPr="00214DAD">
        <w:t>Institute for Microbiology, Ernst-Moritz-Arndt University Greifswald, D-17489 Greifswald, Germany.</w:t>
      </w:r>
    </w:p>
    <w:p w:rsidR="00CC73AE" w:rsidRPr="00214DAD" w:rsidRDefault="00CC73AE" w:rsidP="00CC73AE">
      <w:pPr>
        <w:jc w:val="both"/>
      </w:pPr>
      <w:r w:rsidRPr="00214DAD">
        <w:rPr>
          <w:vertAlign w:val="superscript"/>
        </w:rPr>
        <w:t>3</w:t>
      </w:r>
      <w:r w:rsidRPr="00214DAD">
        <w:t>Institute of Molecular Systems Biology, ETH Zurich, 8093 Zurich, Switzerland.</w:t>
      </w:r>
    </w:p>
    <w:p w:rsidR="00CC73AE" w:rsidRPr="00214DAD" w:rsidRDefault="00CC73AE" w:rsidP="00CC73AE">
      <w:pPr>
        <w:jc w:val="both"/>
        <w:rPr>
          <w:lang w:val="fr-FR"/>
        </w:rPr>
      </w:pPr>
      <w:r w:rsidRPr="00214DAD">
        <w:rPr>
          <w:vertAlign w:val="superscript"/>
          <w:lang w:val="fr-FR"/>
        </w:rPr>
        <w:t>4</w:t>
      </w:r>
      <w:r w:rsidRPr="00214DAD">
        <w:rPr>
          <w:lang w:val="fr-FR"/>
        </w:rPr>
        <w:t xml:space="preserve">INRA, UMR1319 </w:t>
      </w:r>
      <w:proofErr w:type="spellStart"/>
      <w:r w:rsidRPr="00214DAD">
        <w:rPr>
          <w:lang w:val="fr-FR"/>
        </w:rPr>
        <w:t>Micalis</w:t>
      </w:r>
      <w:proofErr w:type="spellEnd"/>
      <w:r w:rsidRPr="00214DAD">
        <w:rPr>
          <w:lang w:val="fr-FR"/>
        </w:rPr>
        <w:t>, F-78350 Jouy-en-Josas, France.</w:t>
      </w:r>
    </w:p>
    <w:p w:rsidR="00CC73AE" w:rsidRDefault="00CC73AE" w:rsidP="00833564"/>
    <w:p w:rsidR="00013083" w:rsidRDefault="00833564" w:rsidP="0047216F">
      <w:pPr>
        <w:spacing w:line="360" w:lineRule="auto"/>
        <w:jc w:val="both"/>
      </w:pPr>
      <w:r w:rsidRPr="00833564">
        <w:t>Predicting resource allocation between cell processes is the primary step towards decoding the evolutionary constraints governing bacterial growth under various conditions</w:t>
      </w:r>
      <w:r w:rsidR="00874E36" w:rsidRPr="00874E36">
        <w:rPr>
          <w:vertAlign w:val="superscript"/>
        </w:rPr>
        <w:t>1</w:t>
      </w:r>
      <w:r w:rsidRPr="00833564">
        <w:t xml:space="preserve">. Quantitative prediction at genome-scale remains a computational challenge as current methods are limited by the tractability of the </w:t>
      </w:r>
      <w:r>
        <w:t xml:space="preserve">underlying </w:t>
      </w:r>
      <w:r w:rsidRPr="00833564">
        <w:t>problem</w:t>
      </w:r>
      <w:r w:rsidR="00874E36" w:rsidRPr="00874E36">
        <w:rPr>
          <w:vertAlign w:val="superscript"/>
        </w:rPr>
        <w:t>2</w:t>
      </w:r>
      <w:r w:rsidRPr="00833564">
        <w:t xml:space="preserve"> or by simplifying hypotheses.</w:t>
      </w:r>
    </w:p>
    <w:p w:rsidR="00833564" w:rsidRDefault="00D92F5B" w:rsidP="0047216F">
      <w:pPr>
        <w:spacing w:line="360" w:lineRule="auto"/>
        <w:jc w:val="both"/>
        <w:rPr>
          <w:rFonts w:ascii="Arial" w:hAnsi="Arial" w:cs="Arial"/>
        </w:rPr>
      </w:pPr>
      <w:r>
        <w:t>In this talk</w:t>
      </w:r>
      <w:r w:rsidR="00833564" w:rsidRPr="00833564">
        <w:t xml:space="preserve">, we </w:t>
      </w:r>
      <w:r w:rsidR="00013083">
        <w:t xml:space="preserve">present the </w:t>
      </w:r>
      <w:r w:rsidR="00013083" w:rsidRPr="00833564">
        <w:t xml:space="preserve">constraint-based modeling method Resource Balance Analysis </w:t>
      </w:r>
      <w:r w:rsidR="00013083">
        <w:t xml:space="preserve">(RBA). </w:t>
      </w:r>
      <w:r w:rsidR="00013083" w:rsidRPr="00013083">
        <w:t xml:space="preserve">By considering the bacterial cell as a self-replicating system, the RBA method intrinsically captures the bottleneck due to resource sharing between all biological processes </w:t>
      </w:r>
      <w:r w:rsidR="00013083">
        <w:t xml:space="preserve">as a </w:t>
      </w:r>
      <w:r w:rsidR="00013083" w:rsidRPr="00013083">
        <w:t>non-smooth convex feasibility problem that is efficiently solved through the resolution of an equivalent Linear Programming (LP) optimization problem</w:t>
      </w:r>
      <w:r w:rsidR="00013083">
        <w:t xml:space="preserve">. </w:t>
      </w:r>
      <w:r w:rsidR="0047216F">
        <w:t>The</w:t>
      </w:r>
      <w:r w:rsidR="00013083" w:rsidRPr="00013083">
        <w:t xml:space="preserve"> optimal cellular configuration </w:t>
      </w:r>
      <w:r w:rsidR="00013083">
        <w:t xml:space="preserve">can be </w:t>
      </w:r>
      <w:r w:rsidR="00013083" w:rsidRPr="00013083">
        <w:t>compute</w:t>
      </w:r>
      <w:r w:rsidR="00013083">
        <w:t>d</w:t>
      </w:r>
      <w:r w:rsidR="00013083" w:rsidRPr="00013083">
        <w:t xml:space="preserve"> under the object</w:t>
      </w:r>
      <w:r w:rsidR="00013083">
        <w:t xml:space="preserve">ive of growth rate maximization </w:t>
      </w:r>
      <w:r w:rsidR="00013083" w:rsidRPr="00013083">
        <w:t>by solving a sequence of LPs</w:t>
      </w:r>
      <w:r w:rsidR="002B3738">
        <w:rPr>
          <w:vertAlign w:val="superscript"/>
        </w:rPr>
        <w:t>3,4</w:t>
      </w:r>
      <w:r w:rsidR="00013083" w:rsidRPr="00013083">
        <w:t>.</w:t>
      </w:r>
      <w:r w:rsidR="0047216F">
        <w:t xml:space="preserve"> </w:t>
      </w:r>
      <w:r w:rsidR="0047216F" w:rsidRPr="0047216F">
        <w:t>The refinement of the underlying mathematical description of cell processes compare</w:t>
      </w:r>
      <w:r w:rsidR="0047216F">
        <w:t>d to well-established constraint</w:t>
      </w:r>
      <w:r w:rsidR="0047216F" w:rsidRPr="0047216F">
        <w:t>-based methods like F</w:t>
      </w:r>
      <w:r w:rsidR="0047216F">
        <w:t xml:space="preserve">lux </w:t>
      </w:r>
      <w:r w:rsidR="0047216F" w:rsidRPr="0047216F">
        <w:t>B</w:t>
      </w:r>
      <w:r w:rsidR="0047216F">
        <w:t xml:space="preserve">alance </w:t>
      </w:r>
      <w:r w:rsidR="0047216F" w:rsidRPr="0047216F">
        <w:t>A</w:t>
      </w:r>
      <w:r w:rsidR="0047216F">
        <w:t>nalysis</w:t>
      </w:r>
      <w:r w:rsidR="00532F01" w:rsidRPr="00532F01">
        <w:rPr>
          <w:vertAlign w:val="superscript"/>
        </w:rPr>
        <w:t>5</w:t>
      </w:r>
      <w:r w:rsidR="0047216F" w:rsidRPr="0047216F">
        <w:t xml:space="preserve"> entails inevitably an increased number of parameters in the model</w:t>
      </w:r>
      <w:r w:rsidR="00532F01">
        <w:rPr>
          <w:vertAlign w:val="superscript"/>
        </w:rPr>
        <w:t>4,6,7</w:t>
      </w:r>
      <w:r w:rsidR="0047216F" w:rsidRPr="0047216F">
        <w:t xml:space="preserve">. By combining physiological and large-scale datasets (growth rate, fluxome, and absolute protein abundances), we succesfully </w:t>
      </w:r>
      <w:r w:rsidR="00833564" w:rsidRPr="0047216F">
        <w:t xml:space="preserve">calibrated </w:t>
      </w:r>
      <w:r w:rsidR="0047216F" w:rsidRPr="0047216F">
        <w:t xml:space="preserve">RBA for the Gram-positive model bacterium </w:t>
      </w:r>
      <w:r w:rsidR="0047216F" w:rsidRPr="0047216F">
        <w:rPr>
          <w:i/>
        </w:rPr>
        <w:t>Bacillus subtilis</w:t>
      </w:r>
      <w:r w:rsidR="0047216F" w:rsidRPr="0047216F">
        <w:t xml:space="preserve"> </w:t>
      </w:r>
      <w:r w:rsidR="0047216F">
        <w:t xml:space="preserve">and showed that RBA accurately predicts the resource allocation </w:t>
      </w:r>
      <w:r w:rsidR="0047216F" w:rsidRPr="0047216F">
        <w:t>for a wide range of growth conditions</w:t>
      </w:r>
      <w:r w:rsidR="00532F01">
        <w:rPr>
          <w:vertAlign w:val="superscript"/>
        </w:rPr>
        <w:t>8</w:t>
      </w:r>
      <w:r w:rsidR="00833564" w:rsidRPr="0047216F">
        <w:t xml:space="preserve">. During the calibration process, the apparent catalytic rates of </w:t>
      </w:r>
      <w:r w:rsidR="006B71C2" w:rsidRPr="0047216F">
        <w:t xml:space="preserve">active </w:t>
      </w:r>
      <w:r w:rsidR="00833564" w:rsidRPr="0047216F">
        <w:t xml:space="preserve">metabolic enzymes </w:t>
      </w:r>
      <w:r w:rsidR="006B71C2" w:rsidRPr="0047216F">
        <w:t>are</w:t>
      </w:r>
      <w:r w:rsidR="00833564" w:rsidRPr="0047216F">
        <w:t xml:space="preserve"> estimated</w:t>
      </w:r>
      <w:r w:rsidR="006B71C2" w:rsidRPr="0047216F">
        <w:t xml:space="preserve"> and most of them</w:t>
      </w:r>
      <w:r w:rsidR="00833564" w:rsidRPr="0047216F">
        <w:t xml:space="preserve"> </w:t>
      </w:r>
      <w:r w:rsidR="006B71C2" w:rsidRPr="0047216F">
        <w:t xml:space="preserve">are linearly decreasing with decreasing growth rate. </w:t>
      </w:r>
      <w:r w:rsidR="00833564" w:rsidRPr="00833564">
        <w:t xml:space="preserve">The regulation of most cellular processes is consistent with the objective of growth rate maximization except for a few suboptimal processes which likely integrate more complex objectives such as coping with stressful conditions and survival. We </w:t>
      </w:r>
      <w:r w:rsidR="00C959FF">
        <w:t xml:space="preserve">also </w:t>
      </w:r>
      <w:r w:rsidR="00833564" w:rsidRPr="00833564">
        <w:t xml:space="preserve">illustrate how calibrated RBA </w:t>
      </w:r>
      <w:r w:rsidR="00C959FF">
        <w:t xml:space="preserve">enables the prediction of complex strategies like managing the uptake of </w:t>
      </w:r>
      <w:r w:rsidR="00C959FF">
        <w:lastRenderedPageBreak/>
        <w:t xml:space="preserve">nutrients (carbon and/or amino acid sources) in </w:t>
      </w:r>
      <w:r>
        <w:t>complex</w:t>
      </w:r>
      <w:r w:rsidR="00C959FF">
        <w:t xml:space="preserve"> medium. Altogether, </w:t>
      </w:r>
      <w:r w:rsidR="00C959FF" w:rsidRPr="00C959FF">
        <w:t xml:space="preserve">RBA offers new opportunities to investigate design principles in prokaryotes and to exploit them for </w:t>
      </w:r>
      <w:r w:rsidR="00C959FF">
        <w:t xml:space="preserve">future </w:t>
      </w:r>
      <w:r w:rsidR="00C959FF" w:rsidRPr="00C959FF">
        <w:t>biotechnological applications</w:t>
      </w:r>
      <w:r w:rsidR="00C959FF">
        <w:rPr>
          <w:rFonts w:ascii="Arial" w:hAnsi="Arial" w:cs="Arial"/>
        </w:rPr>
        <w:t>.</w:t>
      </w:r>
    </w:p>
    <w:p w:rsidR="006B20E6" w:rsidRDefault="006B20E6" w:rsidP="0047216F">
      <w:pPr>
        <w:spacing w:line="360" w:lineRule="auto"/>
        <w:jc w:val="both"/>
        <w:rPr>
          <w:rFonts w:ascii="Arial" w:hAnsi="Arial" w:cs="Arial"/>
        </w:rPr>
      </w:pPr>
    </w:p>
    <w:p w:rsidR="006B20E6" w:rsidRPr="006B20E6" w:rsidRDefault="006B20E6" w:rsidP="0047216F">
      <w:pPr>
        <w:spacing w:line="360" w:lineRule="auto"/>
        <w:jc w:val="both"/>
        <w:rPr>
          <w:b/>
        </w:rPr>
      </w:pPr>
      <w:r w:rsidRPr="006B20E6">
        <w:rPr>
          <w:b/>
        </w:rPr>
        <w:t>References</w:t>
      </w:r>
    </w:p>
    <w:p w:rsidR="006B20E6" w:rsidRDefault="009D42E7" w:rsidP="0097501D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[</w:t>
      </w:r>
      <w:r w:rsidR="0047216F" w:rsidRPr="0097501D">
        <w:rPr>
          <w:sz w:val="18"/>
          <w:szCs w:val="18"/>
        </w:rPr>
        <w:t>1</w:t>
      </w:r>
      <w:r>
        <w:rPr>
          <w:sz w:val="18"/>
          <w:szCs w:val="18"/>
        </w:rPr>
        <w:t>]</w:t>
      </w:r>
      <w:r w:rsidR="0047216F" w:rsidRPr="0097501D">
        <w:rPr>
          <w:sz w:val="18"/>
          <w:szCs w:val="18"/>
        </w:rPr>
        <w:t xml:space="preserve"> </w:t>
      </w:r>
      <w:r w:rsidR="006B20E6" w:rsidRPr="0097501D">
        <w:rPr>
          <w:sz w:val="18"/>
          <w:szCs w:val="18"/>
        </w:rPr>
        <w:t xml:space="preserve">Scott et al. </w:t>
      </w:r>
      <w:r w:rsidRPr="00874E36">
        <w:rPr>
          <w:i/>
          <w:sz w:val="18"/>
          <w:szCs w:val="18"/>
        </w:rPr>
        <w:t>Science</w:t>
      </w:r>
      <w:r>
        <w:rPr>
          <w:sz w:val="18"/>
          <w:szCs w:val="18"/>
        </w:rPr>
        <w:t xml:space="preserve">, </w:t>
      </w:r>
      <w:r w:rsidR="006B20E6" w:rsidRPr="0097501D">
        <w:rPr>
          <w:sz w:val="18"/>
          <w:szCs w:val="18"/>
        </w:rPr>
        <w:t>2010</w:t>
      </w:r>
      <w:r>
        <w:rPr>
          <w:sz w:val="18"/>
          <w:szCs w:val="18"/>
        </w:rPr>
        <w:t>.</w:t>
      </w:r>
    </w:p>
    <w:p w:rsidR="009D42E7" w:rsidRPr="009D42E7" w:rsidRDefault="009D42E7" w:rsidP="0097501D">
      <w:pPr>
        <w:spacing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[</w:t>
      </w:r>
      <w:r w:rsidRPr="009D42E7">
        <w:rPr>
          <w:noProof/>
          <w:sz w:val="18"/>
          <w:szCs w:val="18"/>
        </w:rPr>
        <w:t>2</w:t>
      </w:r>
      <w:r>
        <w:rPr>
          <w:noProof/>
          <w:sz w:val="18"/>
          <w:szCs w:val="18"/>
        </w:rPr>
        <w:t>]</w:t>
      </w:r>
      <w:r w:rsidRPr="009D42E7">
        <w:rPr>
          <w:noProof/>
          <w:sz w:val="18"/>
          <w:szCs w:val="18"/>
        </w:rPr>
        <w:t xml:space="preserve"> Molenaar et al. </w:t>
      </w:r>
      <w:r w:rsidRPr="00874E36">
        <w:rPr>
          <w:i/>
          <w:noProof/>
          <w:sz w:val="18"/>
          <w:szCs w:val="18"/>
        </w:rPr>
        <w:t>Mol Syst Biol</w:t>
      </w:r>
      <w:r w:rsidRPr="009D42E7">
        <w:rPr>
          <w:noProof/>
          <w:sz w:val="18"/>
          <w:szCs w:val="18"/>
        </w:rPr>
        <w:t xml:space="preserve"> 2009.</w:t>
      </w:r>
    </w:p>
    <w:p w:rsidR="00873DC4" w:rsidRPr="0097501D" w:rsidRDefault="009D42E7" w:rsidP="0097501D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[3]</w:t>
      </w:r>
      <w:r w:rsidR="006B20E6" w:rsidRPr="0097501D">
        <w:rPr>
          <w:sz w:val="18"/>
          <w:szCs w:val="18"/>
        </w:rPr>
        <w:t xml:space="preserve"> </w:t>
      </w:r>
      <w:r w:rsidR="0047216F" w:rsidRPr="0097501D">
        <w:rPr>
          <w:sz w:val="18"/>
          <w:szCs w:val="18"/>
        </w:rPr>
        <w:t xml:space="preserve">Goelzer et al. </w:t>
      </w:r>
      <w:r w:rsidRPr="009D42E7">
        <w:rPr>
          <w:i/>
          <w:noProof/>
          <w:sz w:val="18"/>
          <w:szCs w:val="18"/>
        </w:rPr>
        <w:t>48th IEEE Conference on Decision and Control</w:t>
      </w:r>
      <w:r w:rsidRPr="0097501D">
        <w:rPr>
          <w:sz w:val="18"/>
          <w:szCs w:val="18"/>
        </w:rPr>
        <w:t xml:space="preserve"> </w:t>
      </w:r>
      <w:r w:rsidR="0047216F" w:rsidRPr="0097501D">
        <w:rPr>
          <w:sz w:val="18"/>
          <w:szCs w:val="18"/>
        </w:rPr>
        <w:t>2009</w:t>
      </w:r>
      <w:r>
        <w:rPr>
          <w:sz w:val="18"/>
          <w:szCs w:val="18"/>
        </w:rPr>
        <w:t>.</w:t>
      </w:r>
    </w:p>
    <w:p w:rsidR="006B20E6" w:rsidRDefault="009D42E7" w:rsidP="0097501D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[4]</w:t>
      </w:r>
      <w:r w:rsidR="006B20E6" w:rsidRPr="0097501D">
        <w:rPr>
          <w:sz w:val="18"/>
          <w:szCs w:val="18"/>
        </w:rPr>
        <w:t xml:space="preserve"> Goelzer et al. </w:t>
      </w:r>
      <w:r w:rsidRPr="009D42E7">
        <w:rPr>
          <w:i/>
          <w:sz w:val="18"/>
          <w:szCs w:val="18"/>
        </w:rPr>
        <w:t>Automatica</w:t>
      </w:r>
      <w:r>
        <w:rPr>
          <w:sz w:val="18"/>
          <w:szCs w:val="18"/>
        </w:rPr>
        <w:t xml:space="preserve"> </w:t>
      </w:r>
      <w:r w:rsidR="006B20E6" w:rsidRPr="0097501D">
        <w:rPr>
          <w:sz w:val="18"/>
          <w:szCs w:val="18"/>
        </w:rPr>
        <w:t>2011</w:t>
      </w:r>
      <w:r>
        <w:rPr>
          <w:sz w:val="18"/>
          <w:szCs w:val="18"/>
        </w:rPr>
        <w:t>.</w:t>
      </w:r>
    </w:p>
    <w:p w:rsidR="00532F01" w:rsidRPr="0097501D" w:rsidRDefault="00532F01" w:rsidP="0097501D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[5] Varma et al. </w:t>
      </w:r>
      <w:r w:rsidR="00634033" w:rsidRPr="00634033">
        <w:rPr>
          <w:i/>
          <w:noProof/>
          <w:sz w:val="18"/>
          <w:lang w:val="fr-FR"/>
        </w:rPr>
        <w:t>Appl Environ Microbiol</w:t>
      </w:r>
      <w:r>
        <w:rPr>
          <w:sz w:val="18"/>
          <w:szCs w:val="18"/>
        </w:rPr>
        <w:t>. 1994.</w:t>
      </w:r>
    </w:p>
    <w:p w:rsidR="006B20E6" w:rsidRPr="0097501D" w:rsidRDefault="00532F01" w:rsidP="0097501D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[6</w:t>
      </w:r>
      <w:r w:rsidR="009D42E7">
        <w:rPr>
          <w:sz w:val="18"/>
          <w:szCs w:val="18"/>
        </w:rPr>
        <w:t>]</w:t>
      </w:r>
      <w:r w:rsidR="006B20E6" w:rsidRPr="0097501D">
        <w:rPr>
          <w:sz w:val="18"/>
          <w:szCs w:val="18"/>
        </w:rPr>
        <w:t xml:space="preserve"> O’Brien et al. </w:t>
      </w:r>
      <w:r w:rsidR="009D42E7" w:rsidRPr="009D42E7">
        <w:rPr>
          <w:i/>
          <w:sz w:val="18"/>
          <w:szCs w:val="18"/>
        </w:rPr>
        <w:t>Mol Syst Biol</w:t>
      </w:r>
      <w:r w:rsidR="009D42E7">
        <w:rPr>
          <w:sz w:val="18"/>
          <w:szCs w:val="18"/>
        </w:rPr>
        <w:t xml:space="preserve">. </w:t>
      </w:r>
      <w:r w:rsidR="006B20E6" w:rsidRPr="0097501D">
        <w:rPr>
          <w:sz w:val="18"/>
          <w:szCs w:val="18"/>
        </w:rPr>
        <w:t>2013</w:t>
      </w:r>
      <w:r w:rsidR="009D42E7">
        <w:rPr>
          <w:sz w:val="18"/>
          <w:szCs w:val="18"/>
        </w:rPr>
        <w:t>.</w:t>
      </w:r>
    </w:p>
    <w:p w:rsidR="006B20E6" w:rsidRPr="0097501D" w:rsidRDefault="00532F01" w:rsidP="0097501D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[7</w:t>
      </w:r>
      <w:r w:rsidR="009D42E7">
        <w:rPr>
          <w:sz w:val="18"/>
          <w:szCs w:val="18"/>
        </w:rPr>
        <w:t>]</w:t>
      </w:r>
      <w:r w:rsidR="006B20E6" w:rsidRPr="0097501D">
        <w:rPr>
          <w:sz w:val="18"/>
          <w:szCs w:val="18"/>
        </w:rPr>
        <w:t xml:space="preserve"> Vasquez et al</w:t>
      </w:r>
      <w:r w:rsidR="009D42E7" w:rsidRPr="009D42E7">
        <w:rPr>
          <w:rFonts w:ascii="Calibri" w:hAnsi="Calibri" w:cs="Arial"/>
          <w:noProof/>
        </w:rPr>
        <w:t xml:space="preserve"> </w:t>
      </w:r>
      <w:r w:rsidR="009D42E7">
        <w:rPr>
          <w:i/>
          <w:noProof/>
          <w:sz w:val="20"/>
        </w:rPr>
        <w:t>BMC Syst Bio</w:t>
      </w:r>
      <w:r w:rsidR="009D42E7" w:rsidRPr="009D42E7">
        <w:rPr>
          <w:i/>
          <w:noProof/>
          <w:sz w:val="20"/>
        </w:rPr>
        <w:t>l</w:t>
      </w:r>
      <w:r w:rsidR="009D42E7">
        <w:rPr>
          <w:i/>
          <w:noProof/>
          <w:sz w:val="20"/>
        </w:rPr>
        <w:t>.</w:t>
      </w:r>
      <w:r w:rsidR="006B20E6" w:rsidRPr="009D42E7">
        <w:rPr>
          <w:sz w:val="14"/>
          <w:szCs w:val="18"/>
        </w:rPr>
        <w:t xml:space="preserve"> </w:t>
      </w:r>
      <w:r w:rsidR="006B20E6" w:rsidRPr="0097501D">
        <w:rPr>
          <w:sz w:val="18"/>
          <w:szCs w:val="18"/>
        </w:rPr>
        <w:t>2008</w:t>
      </w:r>
      <w:r w:rsidR="009D42E7">
        <w:rPr>
          <w:sz w:val="18"/>
          <w:szCs w:val="18"/>
        </w:rPr>
        <w:t>.</w:t>
      </w:r>
    </w:p>
    <w:p w:rsidR="006B20E6" w:rsidRPr="0097501D" w:rsidRDefault="00532F01" w:rsidP="0097501D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[8</w:t>
      </w:r>
      <w:r w:rsidR="009D42E7">
        <w:rPr>
          <w:sz w:val="18"/>
          <w:szCs w:val="18"/>
        </w:rPr>
        <w:t>]</w:t>
      </w:r>
      <w:r w:rsidR="006B20E6" w:rsidRPr="0097501D">
        <w:rPr>
          <w:sz w:val="18"/>
          <w:szCs w:val="18"/>
        </w:rPr>
        <w:t xml:space="preserve"> Goelzer et al.</w:t>
      </w:r>
      <w:r w:rsidR="009D42E7">
        <w:rPr>
          <w:sz w:val="18"/>
          <w:szCs w:val="18"/>
        </w:rPr>
        <w:t xml:space="preserve"> </w:t>
      </w:r>
      <w:r w:rsidR="009D42E7" w:rsidRPr="009D42E7">
        <w:rPr>
          <w:i/>
          <w:sz w:val="18"/>
          <w:szCs w:val="18"/>
        </w:rPr>
        <w:t>Me</w:t>
      </w:r>
      <w:r w:rsidR="009D42E7">
        <w:rPr>
          <w:i/>
          <w:sz w:val="18"/>
          <w:szCs w:val="18"/>
        </w:rPr>
        <w:t>tab</w:t>
      </w:r>
      <w:r w:rsidR="009D42E7" w:rsidRPr="009D42E7">
        <w:rPr>
          <w:i/>
          <w:sz w:val="18"/>
          <w:szCs w:val="18"/>
        </w:rPr>
        <w:t xml:space="preserve"> </w:t>
      </w:r>
      <w:r w:rsidR="009D42E7">
        <w:rPr>
          <w:i/>
          <w:sz w:val="18"/>
          <w:szCs w:val="18"/>
        </w:rPr>
        <w:t>Eng.</w:t>
      </w:r>
      <w:r w:rsidR="006B20E6" w:rsidRPr="0097501D">
        <w:rPr>
          <w:sz w:val="18"/>
          <w:szCs w:val="18"/>
        </w:rPr>
        <w:t xml:space="preserve"> 2015</w:t>
      </w:r>
      <w:r w:rsidR="009D42E7">
        <w:rPr>
          <w:sz w:val="18"/>
          <w:szCs w:val="18"/>
        </w:rPr>
        <w:t>.</w:t>
      </w:r>
    </w:p>
    <w:sectPr w:rsidR="006B20E6" w:rsidRPr="00975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F0"/>
    <w:rsid w:val="00006B75"/>
    <w:rsid w:val="00013083"/>
    <w:rsid w:val="000B7288"/>
    <w:rsid w:val="0010161D"/>
    <w:rsid w:val="00214DAD"/>
    <w:rsid w:val="002B3738"/>
    <w:rsid w:val="0047216F"/>
    <w:rsid w:val="004838F0"/>
    <w:rsid w:val="004E2000"/>
    <w:rsid w:val="004E22CC"/>
    <w:rsid w:val="00532F01"/>
    <w:rsid w:val="00634033"/>
    <w:rsid w:val="006B20E6"/>
    <w:rsid w:val="006B71C2"/>
    <w:rsid w:val="006E7805"/>
    <w:rsid w:val="00773960"/>
    <w:rsid w:val="00833564"/>
    <w:rsid w:val="00873DC4"/>
    <w:rsid w:val="00874E36"/>
    <w:rsid w:val="0097501D"/>
    <w:rsid w:val="00991911"/>
    <w:rsid w:val="009D42E7"/>
    <w:rsid w:val="00B540EC"/>
    <w:rsid w:val="00C959FF"/>
    <w:rsid w:val="00CC73AE"/>
    <w:rsid w:val="00D06203"/>
    <w:rsid w:val="00D92F5B"/>
    <w:rsid w:val="00ED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Chalmers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Mijakovic</dc:creator>
  <cp:lastModifiedBy>agoelzer</cp:lastModifiedBy>
  <cp:revision>2</cp:revision>
  <dcterms:created xsi:type="dcterms:W3CDTF">2016-08-10T09:28:00Z</dcterms:created>
  <dcterms:modified xsi:type="dcterms:W3CDTF">2016-08-10T09:28:00Z</dcterms:modified>
</cp:coreProperties>
</file>