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38" w:rsidRPr="00F01B69" w:rsidRDefault="00E34138" w:rsidP="004D3A0D">
      <w:pPr>
        <w:rPr>
          <w:rFonts w:ascii="Arial" w:hAnsi="Arial" w:cs="Arial"/>
          <w:b/>
          <w:caps/>
          <w:sz w:val="20"/>
          <w:szCs w:val="20"/>
          <w:lang w:val="en-GB"/>
        </w:rPr>
      </w:pPr>
      <w:r w:rsidRPr="00F01B69">
        <w:rPr>
          <w:rFonts w:ascii="Arial" w:hAnsi="Arial" w:cs="Arial"/>
          <w:b/>
          <w:caps/>
          <w:sz w:val="20"/>
          <w:szCs w:val="20"/>
          <w:lang w:val="en-GB"/>
        </w:rPr>
        <w:t xml:space="preserve">TITLE: </w:t>
      </w:r>
      <w:bookmarkStart w:id="0" w:name="_GoBack"/>
      <w:r w:rsidRPr="00F01B69">
        <w:rPr>
          <w:rFonts w:ascii="Arial" w:hAnsi="Arial" w:cs="Arial"/>
          <w:b/>
          <w:caps/>
          <w:sz w:val="20"/>
          <w:szCs w:val="20"/>
          <w:lang w:val="en-GB"/>
        </w:rPr>
        <w:t xml:space="preserve">Peri-partum </w:t>
      </w:r>
      <w:proofErr w:type="spellStart"/>
      <w:r w:rsidRPr="00F01B69">
        <w:rPr>
          <w:rFonts w:ascii="Arial" w:hAnsi="Arial" w:cs="Arial"/>
          <w:b/>
          <w:sz w:val="20"/>
          <w:szCs w:val="20"/>
          <w:lang w:val="en-GB"/>
        </w:rPr>
        <w:t>sc</w:t>
      </w:r>
      <w:r w:rsidRPr="00F01B69">
        <w:rPr>
          <w:rFonts w:ascii="Arial" w:hAnsi="Arial" w:cs="Arial"/>
          <w:b/>
          <w:caps/>
          <w:sz w:val="20"/>
          <w:szCs w:val="20"/>
          <w:lang w:val="en-GB"/>
        </w:rPr>
        <w:t>FOS</w:t>
      </w:r>
      <w:proofErr w:type="spellEnd"/>
      <w:r w:rsidRPr="00F01B69">
        <w:rPr>
          <w:rFonts w:ascii="Arial" w:hAnsi="Arial" w:cs="Arial"/>
          <w:b/>
          <w:caps/>
          <w:sz w:val="20"/>
          <w:szCs w:val="20"/>
          <w:lang w:val="en-GB"/>
        </w:rPr>
        <w:t xml:space="preserve"> supplementation modifies colostrum immune quality and intestinal immune system development of the offspring.</w:t>
      </w:r>
    </w:p>
    <w:bookmarkEnd w:id="0"/>
    <w:p w:rsidR="00E34138" w:rsidRPr="00F01B69" w:rsidRDefault="00E34138" w:rsidP="004D3A0D">
      <w:pPr>
        <w:rPr>
          <w:rFonts w:ascii="Arial" w:hAnsi="Arial" w:cs="Arial"/>
          <w:b/>
          <w:smallCaps/>
          <w:sz w:val="20"/>
          <w:szCs w:val="20"/>
          <w:lang w:val="en-GB"/>
        </w:rPr>
      </w:pP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>AUTHORS: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r w:rsidRPr="00F01B69">
        <w:rPr>
          <w:rFonts w:ascii="Arial" w:hAnsi="Arial" w:cs="Arial"/>
          <w:sz w:val="20"/>
          <w:szCs w:val="20"/>
          <w:u w:val="single"/>
          <w:lang w:val="en-GB"/>
        </w:rPr>
        <w:t>S. Ferret-Bernard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proofErr w:type="gramStart"/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,2</w:t>
      </w:r>
      <w:proofErr w:type="gramEnd"/>
      <w:r w:rsidRPr="00F01B69">
        <w:rPr>
          <w:rFonts w:ascii="Arial" w:hAnsi="Arial" w:cs="Arial"/>
          <w:sz w:val="20"/>
          <w:szCs w:val="20"/>
          <w:lang w:val="en-GB"/>
        </w:rPr>
        <w:t>, C. Le Bourgot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1,2</w:t>
      </w:r>
      <w:r w:rsidRPr="00F01B69">
        <w:rPr>
          <w:rFonts w:ascii="Arial" w:hAnsi="Arial" w:cs="Arial"/>
          <w:sz w:val="20"/>
          <w:szCs w:val="20"/>
          <w:lang w:val="en-GB"/>
        </w:rPr>
        <w:t>, S. Blat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1,2</w:t>
      </w:r>
      <w:r w:rsidRPr="00F01B69">
        <w:rPr>
          <w:rFonts w:ascii="Arial" w:hAnsi="Arial" w:cs="Arial"/>
          <w:sz w:val="20"/>
          <w:szCs w:val="20"/>
          <w:lang w:val="en-GB"/>
        </w:rPr>
        <w:t>, E. Menendez-Aparicio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1,2</w:t>
      </w:r>
      <w:r w:rsidRPr="00F01B69">
        <w:rPr>
          <w:rFonts w:ascii="Arial" w:hAnsi="Arial" w:cs="Arial"/>
          <w:sz w:val="20"/>
          <w:szCs w:val="20"/>
          <w:lang w:val="en-GB"/>
        </w:rPr>
        <w:t>, G. Savary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1,2</w:t>
      </w:r>
      <w:r w:rsidRPr="00F01B69">
        <w:rPr>
          <w:rFonts w:ascii="Arial" w:hAnsi="Arial" w:cs="Arial"/>
          <w:sz w:val="20"/>
          <w:szCs w:val="20"/>
          <w:lang w:val="en-GB"/>
        </w:rPr>
        <w:t>, L. Le Normand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1,2</w:t>
      </w:r>
      <w:r w:rsidRPr="00F01B69">
        <w:rPr>
          <w:rFonts w:ascii="Arial" w:hAnsi="Arial" w:cs="Arial"/>
          <w:sz w:val="20"/>
          <w:szCs w:val="20"/>
          <w:lang w:val="en-GB"/>
        </w:rPr>
        <w:t>, E. Grand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F01B69">
        <w:rPr>
          <w:rFonts w:ascii="Arial" w:hAnsi="Arial" w:cs="Arial"/>
          <w:sz w:val="20"/>
          <w:szCs w:val="20"/>
          <w:lang w:val="en-GB"/>
        </w:rPr>
        <w:t>, F. Respondek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place">
        <w:r w:rsidRPr="00F01B69">
          <w:rPr>
            <w:rFonts w:ascii="Arial" w:hAnsi="Arial" w:cs="Arial"/>
            <w:sz w:val="20"/>
            <w:szCs w:val="20"/>
            <w:lang w:val="en-GB"/>
          </w:rPr>
          <w:t>I.</w:t>
        </w:r>
      </w:smartTag>
      <w:r w:rsidRPr="00F01B69">
        <w:rPr>
          <w:rFonts w:ascii="Arial" w:hAnsi="Arial" w:cs="Arial"/>
          <w:sz w:val="20"/>
          <w:szCs w:val="20"/>
          <w:lang w:val="en-GB"/>
        </w:rPr>
        <w:t xml:space="preserve"> Le Huërou-Luron</w:t>
      </w: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1,2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</w:p>
    <w:p w:rsidR="00E34138" w:rsidRPr="00F01B69" w:rsidRDefault="00E34138" w:rsidP="004D3A0D">
      <w:pPr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F01B69">
        <w:rPr>
          <w:rFonts w:ascii="Arial" w:hAnsi="Arial" w:cs="Arial"/>
          <w:sz w:val="20"/>
          <w:szCs w:val="20"/>
          <w:vertAlign w:val="superscript"/>
        </w:rPr>
        <w:t>1</w:t>
      </w:r>
      <w:r w:rsidRPr="00F01B69">
        <w:rPr>
          <w:rFonts w:ascii="Arial" w:hAnsi="Arial" w:cs="Arial"/>
          <w:sz w:val="20"/>
          <w:szCs w:val="20"/>
        </w:rPr>
        <w:t>INRA UMR1079 SENAH, F-35590 Saint-Gilles, France.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</w:rPr>
      </w:pPr>
      <w:r w:rsidRPr="00F01B69">
        <w:rPr>
          <w:rFonts w:ascii="Arial" w:hAnsi="Arial" w:cs="Arial"/>
          <w:sz w:val="20"/>
          <w:szCs w:val="20"/>
          <w:vertAlign w:val="superscript"/>
        </w:rPr>
        <w:t>2</w:t>
      </w:r>
      <w:r w:rsidRPr="00F01B69">
        <w:rPr>
          <w:rFonts w:ascii="Arial" w:hAnsi="Arial" w:cs="Arial"/>
          <w:sz w:val="20"/>
          <w:szCs w:val="20"/>
        </w:rPr>
        <w:t>Agrocampus Ouest, UMR1079 SENAH, F-35000 Rennes, France.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TEREOS-SYRAL, F-67390 </w:t>
      </w:r>
      <w:proofErr w:type="spellStart"/>
      <w:smartTag w:uri="urn:schemas-microsoft-com:office:smarttags" w:element="place">
        <w:smartTag w:uri="urn:schemas-microsoft-com:office:smarttags" w:element="City">
          <w:r w:rsidRPr="00F01B69">
            <w:rPr>
              <w:rFonts w:ascii="Arial" w:hAnsi="Arial" w:cs="Arial"/>
              <w:sz w:val="20"/>
              <w:szCs w:val="20"/>
              <w:lang w:val="en-GB"/>
            </w:rPr>
            <w:t>Marckolsheim</w:t>
          </w:r>
        </w:smartTag>
        <w:proofErr w:type="spellEnd"/>
        <w:r w:rsidRPr="00F01B69"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F01B69">
            <w:rPr>
              <w:rFonts w:ascii="Arial" w:hAnsi="Arial" w:cs="Arial"/>
              <w:sz w:val="20"/>
              <w:szCs w:val="20"/>
              <w:lang w:val="en-GB"/>
            </w:rPr>
            <w:t>France</w:t>
          </w:r>
        </w:smartTag>
      </w:smartTag>
      <w:r w:rsidRPr="00F01B69">
        <w:rPr>
          <w:rFonts w:ascii="Arial" w:hAnsi="Arial" w:cs="Arial"/>
          <w:sz w:val="20"/>
          <w:szCs w:val="20"/>
          <w:lang w:val="en-GB"/>
        </w:rPr>
        <w:t>.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</w:p>
    <w:p w:rsidR="00E34138" w:rsidRPr="00F01B69" w:rsidRDefault="00E34138" w:rsidP="004D3A0D">
      <w:pPr>
        <w:rPr>
          <w:rFonts w:ascii="Arial" w:hAnsi="Arial" w:cs="Arial"/>
          <w:b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>KEYWORDS: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prebiotic, mother supplementation, colostrum quality, offspring, intestinal immune system.</w:t>
      </w:r>
    </w:p>
    <w:p w:rsidR="00E34138" w:rsidRPr="00F01B69" w:rsidRDefault="00E34138" w:rsidP="004D3A0D">
      <w:pPr>
        <w:rPr>
          <w:rFonts w:ascii="Arial" w:hAnsi="Arial" w:cs="Arial"/>
          <w:b/>
          <w:sz w:val="20"/>
          <w:szCs w:val="20"/>
          <w:lang w:val="en-GB"/>
        </w:rPr>
      </w:pP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>Introduction: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Diet supplementation with short-chain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fructo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>-oligosaccharides (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) is known to improve intestinal defence mechanisms and to modify local immune system development, notably by improving beneficial bacteria growth. Objectives of our study were to determine impact of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mother supplementation on immunity transfer to their offspring and consequences on development of neonatal intestinal immunity, which is still poorly considered. 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>Material &amp; Methods: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24 </w:t>
      </w:r>
      <w:smartTag w:uri="isiresearchsoft-com/cwyw" w:element="citation">
        <w:r w:rsidRPr="00F01B69">
          <w:rPr>
            <w:rFonts w:ascii="Arial" w:hAnsi="Arial" w:cs="Arial"/>
            <w:sz w:val="20"/>
            <w:szCs w:val="20"/>
            <w:lang w:val="en-GB"/>
          </w:rPr>
          <w:t>[Large White x Landrace]</w:t>
        </w:r>
      </w:smartTag>
      <w:r w:rsidRPr="00F01B69">
        <w:rPr>
          <w:rFonts w:ascii="Arial" w:hAnsi="Arial" w:cs="Arial"/>
          <w:sz w:val="20"/>
          <w:szCs w:val="20"/>
          <w:lang w:val="en-GB"/>
        </w:rPr>
        <w:t xml:space="preserve"> pregnant sows received during the last month of their pregnancy and lactation a standard diet (CTRL group) or a diet supplemented with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(SUPP group). Systemic immunity has been evaluated by serum immunoglobulin dosage (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IgA) from pregnant sows (4 and 1 weeks before parturition) and suckling piglets (1 and 3 week old).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>, IgA as well as TGF</w:t>
      </w:r>
      <w:r w:rsidRPr="00F01B69">
        <w:rPr>
          <w:rFonts w:ascii="Symbol" w:hAnsi="Symbol" w:cs="Arial"/>
          <w:sz w:val="20"/>
          <w:szCs w:val="20"/>
          <w:lang w:val="en-GB"/>
        </w:rPr>
        <w:t></w:t>
      </w:r>
      <w:r w:rsidRPr="00F01B69">
        <w:rPr>
          <w:rFonts w:ascii="Arial" w:hAnsi="Arial" w:cs="Arial"/>
          <w:sz w:val="20"/>
          <w:szCs w:val="20"/>
          <w:lang w:val="en-GB"/>
        </w:rPr>
        <w:t>1 have been analysed on colostrum collected between parturition and 15h later. Secretory activity (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sIgA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>) and cytokine pattern (IFN</w:t>
      </w:r>
      <w:r w:rsidRPr="00F01B69">
        <w:rPr>
          <w:rFonts w:ascii="Symbol" w:hAnsi="Symbol" w:cs="Arial"/>
          <w:sz w:val="20"/>
          <w:szCs w:val="20"/>
          <w:lang w:val="en-GB"/>
        </w:rPr>
        <w:t>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and IL-10) of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ileal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Peyer’s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patches have been studied following culture of mononuclear cells isolated from 3 week old suckling piglets (6/group). 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 xml:space="preserve">Results: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supplementation did not affect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IgA serum levels of the sows before parturition. IgA concentration similarly increased (p&lt;0.001) between serum collected at 28 and 7 days before parturition in both groups. Contrarily,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colostral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IgA concentration (p&lt;0.04) as well as TGF</w:t>
      </w:r>
      <w:r w:rsidRPr="00F01B69">
        <w:rPr>
          <w:rFonts w:ascii="Symbol" w:hAnsi="Symbol" w:cs="Arial"/>
          <w:sz w:val="20"/>
          <w:szCs w:val="20"/>
          <w:lang w:val="en-GB"/>
        </w:rPr>
        <w:t>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1 one (p=0.1) were superior in SUPP sows, signs of cellular recruitment and/or higher production in mammary glands of SUPP sows at the end of gestation.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Colostral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level was not affected by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supplementation. The decrease of serum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IgG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IgA observed between 1 and 3 week old piglets was not modified by mother supplementation. At the mucosal level, IFN</w:t>
      </w:r>
      <w:r w:rsidRPr="00F01B69">
        <w:rPr>
          <w:rFonts w:ascii="Symbol" w:hAnsi="Symbol" w:cs="Arial"/>
          <w:sz w:val="20"/>
          <w:szCs w:val="20"/>
          <w:lang w:val="en-GB"/>
        </w:rPr>
        <w:t>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 secretion by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ileal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Peyer’s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patch cells was higher (p&lt;0.02) in piglets whose mothers received the supplemented diet. However,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sIgA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and IL-10 secretion were not modified. 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b/>
          <w:sz w:val="20"/>
          <w:szCs w:val="20"/>
          <w:lang w:val="en-GB"/>
        </w:rPr>
        <w:t xml:space="preserve">Conclusion: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Diet supplementation of sows with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scFOS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during the last month of pregnancy and lactation reinforces colostrum immune quality and modifies</w:t>
      </w:r>
      <w:r w:rsidRPr="00F01B69">
        <w:rPr>
          <w:rFonts w:ascii="Arial" w:hAnsi="Arial" w:cs="Arial"/>
          <w:b/>
          <w:caps/>
          <w:sz w:val="20"/>
          <w:szCs w:val="20"/>
          <w:lang w:val="en-GB"/>
        </w:rPr>
        <w:t xml:space="preserve"> </w:t>
      </w:r>
      <w:r w:rsidRPr="00F01B69">
        <w:rPr>
          <w:rFonts w:ascii="Arial" w:hAnsi="Arial" w:cs="Arial"/>
          <w:sz w:val="20"/>
          <w:szCs w:val="20"/>
          <w:lang w:val="en-GB"/>
        </w:rPr>
        <w:t xml:space="preserve">intestinal immune system development of the offspring. </w:t>
      </w:r>
      <w:proofErr w:type="spellStart"/>
      <w:r w:rsidRPr="00F01B69">
        <w:rPr>
          <w:rFonts w:ascii="Arial" w:hAnsi="Arial" w:cs="Arial"/>
          <w:sz w:val="20"/>
          <w:szCs w:val="20"/>
          <w:lang w:val="en-GB"/>
        </w:rPr>
        <w:t>Microbiota</w:t>
      </w:r>
      <w:proofErr w:type="spellEnd"/>
      <w:r w:rsidRPr="00F01B69">
        <w:rPr>
          <w:rFonts w:ascii="Arial" w:hAnsi="Arial" w:cs="Arial"/>
          <w:sz w:val="20"/>
          <w:szCs w:val="20"/>
          <w:lang w:val="en-GB"/>
        </w:rPr>
        <w:t xml:space="preserve"> role in these modifications worth to be evaluated.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</w:p>
    <w:p w:rsidR="00E34138" w:rsidRPr="00F01B69" w:rsidRDefault="00E34138" w:rsidP="004D3A0D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F01B69">
        <w:rPr>
          <w:rFonts w:ascii="Arial" w:hAnsi="Arial" w:cs="Arial"/>
          <w:sz w:val="20"/>
          <w:szCs w:val="20"/>
          <w:highlight w:val="yellow"/>
          <w:lang w:val="en-GB"/>
        </w:rPr>
        <w:t>Titre : 15 mots</w:t>
      </w:r>
    </w:p>
    <w:p w:rsidR="00E34138" w:rsidRPr="00F01B69" w:rsidRDefault="00E34138" w:rsidP="004D3A0D">
      <w:pPr>
        <w:rPr>
          <w:rFonts w:ascii="Arial" w:hAnsi="Arial" w:cs="Arial"/>
          <w:sz w:val="20"/>
          <w:szCs w:val="20"/>
          <w:lang w:val="en-GB"/>
        </w:rPr>
      </w:pPr>
      <w:r w:rsidRPr="00F01B69">
        <w:rPr>
          <w:rFonts w:ascii="Arial" w:hAnsi="Arial" w:cs="Arial"/>
          <w:sz w:val="20"/>
          <w:szCs w:val="20"/>
          <w:highlight w:val="yellow"/>
          <w:lang w:val="en-GB"/>
        </w:rPr>
        <w:t>Abstract : 300 mots (</w:t>
      </w:r>
      <w:proofErr w:type="spellStart"/>
      <w:r w:rsidRPr="00F01B69">
        <w:rPr>
          <w:rFonts w:ascii="Arial" w:hAnsi="Arial" w:cs="Arial"/>
          <w:sz w:val="20"/>
          <w:szCs w:val="20"/>
          <w:highlight w:val="yellow"/>
          <w:lang w:val="en-GB"/>
        </w:rPr>
        <w:t>ici</w:t>
      </w:r>
      <w:proofErr w:type="spellEnd"/>
      <w:r w:rsidRPr="00F01B69">
        <w:rPr>
          <w:rFonts w:ascii="Arial" w:hAnsi="Arial" w:cs="Arial"/>
          <w:sz w:val="20"/>
          <w:szCs w:val="20"/>
          <w:highlight w:val="yellow"/>
          <w:lang w:val="en-GB"/>
        </w:rPr>
        <w:t xml:space="preserve"> 334!!!)</w:t>
      </w:r>
    </w:p>
    <w:sectPr w:rsidR="00E34138" w:rsidRPr="00F01B69" w:rsidSect="00C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64" w:rsidRDefault="00B97164">
      <w:r>
        <w:separator/>
      </w:r>
    </w:p>
  </w:endnote>
  <w:endnote w:type="continuationSeparator" w:id="0">
    <w:p w:rsidR="00B97164" w:rsidRDefault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64" w:rsidRDefault="00B97164">
      <w:r>
        <w:separator/>
      </w:r>
    </w:p>
  </w:footnote>
  <w:footnote w:type="continuationSeparator" w:id="0">
    <w:p w:rsidR="00B97164" w:rsidRDefault="00B9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E81"/>
    <w:multiLevelType w:val="hybridMultilevel"/>
    <w:tmpl w:val="823A654A"/>
    <w:lvl w:ilvl="0" w:tplc="DF7C3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0"/>
    <w:rsid w:val="00021CC9"/>
    <w:rsid w:val="000241FA"/>
    <w:rsid w:val="0002475F"/>
    <w:rsid w:val="00024A72"/>
    <w:rsid w:val="00037553"/>
    <w:rsid w:val="000F406B"/>
    <w:rsid w:val="00100EC1"/>
    <w:rsid w:val="001A729C"/>
    <w:rsid w:val="001E4C74"/>
    <w:rsid w:val="001E6B3C"/>
    <w:rsid w:val="001F6DD1"/>
    <w:rsid w:val="002619B9"/>
    <w:rsid w:val="00290BB5"/>
    <w:rsid w:val="002B7876"/>
    <w:rsid w:val="002D3A15"/>
    <w:rsid w:val="002D6442"/>
    <w:rsid w:val="00326FA4"/>
    <w:rsid w:val="0032731A"/>
    <w:rsid w:val="00337555"/>
    <w:rsid w:val="00350B80"/>
    <w:rsid w:val="003A4B19"/>
    <w:rsid w:val="003B3F8E"/>
    <w:rsid w:val="004948E4"/>
    <w:rsid w:val="004C5BE7"/>
    <w:rsid w:val="004D3A0D"/>
    <w:rsid w:val="005969BB"/>
    <w:rsid w:val="005C6705"/>
    <w:rsid w:val="005F1FFF"/>
    <w:rsid w:val="00610C4B"/>
    <w:rsid w:val="0067149E"/>
    <w:rsid w:val="00675E3C"/>
    <w:rsid w:val="00700EF6"/>
    <w:rsid w:val="00735061"/>
    <w:rsid w:val="00773DD8"/>
    <w:rsid w:val="007A4C8C"/>
    <w:rsid w:val="007C77B1"/>
    <w:rsid w:val="007D13AE"/>
    <w:rsid w:val="007D5CA2"/>
    <w:rsid w:val="00840BF3"/>
    <w:rsid w:val="00863FB0"/>
    <w:rsid w:val="008F2BAA"/>
    <w:rsid w:val="00931AD5"/>
    <w:rsid w:val="00945C5E"/>
    <w:rsid w:val="009C04B5"/>
    <w:rsid w:val="009E2C0B"/>
    <w:rsid w:val="00A1410C"/>
    <w:rsid w:val="00A15E58"/>
    <w:rsid w:val="00A212FF"/>
    <w:rsid w:val="00A22F22"/>
    <w:rsid w:val="00A34D3F"/>
    <w:rsid w:val="00A9704F"/>
    <w:rsid w:val="00AB7F90"/>
    <w:rsid w:val="00AE0689"/>
    <w:rsid w:val="00AF4E64"/>
    <w:rsid w:val="00B50A2B"/>
    <w:rsid w:val="00B7451D"/>
    <w:rsid w:val="00B94B9F"/>
    <w:rsid w:val="00B97164"/>
    <w:rsid w:val="00C2367A"/>
    <w:rsid w:val="00C23FB2"/>
    <w:rsid w:val="00C41005"/>
    <w:rsid w:val="00C7478D"/>
    <w:rsid w:val="00CA3641"/>
    <w:rsid w:val="00CE6447"/>
    <w:rsid w:val="00CF234B"/>
    <w:rsid w:val="00D07BB9"/>
    <w:rsid w:val="00D2106C"/>
    <w:rsid w:val="00D27677"/>
    <w:rsid w:val="00D3352A"/>
    <w:rsid w:val="00DE5D66"/>
    <w:rsid w:val="00DF75CD"/>
    <w:rsid w:val="00E27428"/>
    <w:rsid w:val="00E34138"/>
    <w:rsid w:val="00E422BB"/>
    <w:rsid w:val="00E43A5B"/>
    <w:rsid w:val="00E60ECC"/>
    <w:rsid w:val="00E7063D"/>
    <w:rsid w:val="00E860E1"/>
    <w:rsid w:val="00E86688"/>
    <w:rsid w:val="00E86DCB"/>
    <w:rsid w:val="00EB223D"/>
    <w:rsid w:val="00EE033A"/>
    <w:rsid w:val="00F0190F"/>
    <w:rsid w:val="00F01B69"/>
    <w:rsid w:val="00F403FF"/>
    <w:rsid w:val="00F45020"/>
    <w:rsid w:val="00F54A7B"/>
    <w:rsid w:val="00F66D5C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350B8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E068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E0689"/>
    <w:rPr>
      <w:rFonts w:ascii="Calibri" w:hAnsi="Calibri" w:cs="Times New Roman"/>
      <w:lang w:val="fr-FR" w:eastAsia="en-US"/>
    </w:rPr>
  </w:style>
  <w:style w:type="character" w:styleId="Appelnotedebasdep">
    <w:name w:val="footnote reference"/>
    <w:basedOn w:val="Policepardfaut"/>
    <w:uiPriority w:val="99"/>
    <w:semiHidden/>
    <w:rsid w:val="00AE0689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C5B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C5BE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DE5D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E5D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E5D6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5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E5D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350B8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E068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E0689"/>
    <w:rPr>
      <w:rFonts w:ascii="Calibri" w:hAnsi="Calibri" w:cs="Times New Roman"/>
      <w:lang w:val="fr-FR" w:eastAsia="en-US"/>
    </w:rPr>
  </w:style>
  <w:style w:type="character" w:styleId="Appelnotedebasdep">
    <w:name w:val="footnote reference"/>
    <w:basedOn w:val="Policepardfaut"/>
    <w:uiPriority w:val="99"/>
    <w:semiHidden/>
    <w:rsid w:val="00AE0689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C5BE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C5BE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DE5D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E5D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E5D6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5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E5D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Influence d’une supplémentation peri-partum en sc-FOS sur le développement du système immmunitaire intestinal des porcelets nouveau-nés</vt:lpstr>
    </vt:vector>
  </TitlesOfParts>
  <Company>INRA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d’une supplémentation peri-partum en sc-FOS sur le développement du système immmunitaire intestinal des porcelets nouveau-nés</dc:title>
  <dc:creator>sferret</dc:creator>
  <cp:lastModifiedBy>Isabelle Luron</cp:lastModifiedBy>
  <cp:revision>2</cp:revision>
  <dcterms:created xsi:type="dcterms:W3CDTF">2011-10-24T14:15:00Z</dcterms:created>
  <dcterms:modified xsi:type="dcterms:W3CDTF">2011-10-24T14:15:00Z</dcterms:modified>
</cp:coreProperties>
</file>