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B9" w:rsidRPr="005D73CD" w:rsidRDefault="008235B9" w:rsidP="004D3A0D">
      <w:pPr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  <w:proofErr w:type="spellStart"/>
      <w:r w:rsidRPr="005D73CD">
        <w:rPr>
          <w:rFonts w:ascii="Arial" w:hAnsi="Arial" w:cs="Arial"/>
          <w:b/>
          <w:sz w:val="20"/>
          <w:szCs w:val="20"/>
          <w:lang w:val="en-GB"/>
        </w:rPr>
        <w:t>Peri</w:t>
      </w:r>
      <w:proofErr w:type="spellEnd"/>
      <w:r w:rsidRPr="005D73CD">
        <w:rPr>
          <w:rFonts w:ascii="Arial" w:hAnsi="Arial" w:cs="Arial"/>
          <w:b/>
          <w:sz w:val="20"/>
          <w:szCs w:val="20"/>
          <w:lang w:val="en-GB"/>
        </w:rPr>
        <w:t xml:space="preserve">-partum </w:t>
      </w:r>
      <w:proofErr w:type="spellStart"/>
      <w:r w:rsidRPr="005D73CD">
        <w:rPr>
          <w:rFonts w:ascii="Arial" w:hAnsi="Arial" w:cs="Arial"/>
          <w:b/>
          <w:sz w:val="20"/>
          <w:szCs w:val="20"/>
          <w:lang w:val="en-GB"/>
        </w:rPr>
        <w:t>scFOS</w:t>
      </w:r>
      <w:proofErr w:type="spellEnd"/>
      <w:r w:rsidRPr="005D73CD">
        <w:rPr>
          <w:rFonts w:ascii="Arial" w:hAnsi="Arial" w:cs="Arial"/>
          <w:b/>
          <w:sz w:val="20"/>
          <w:szCs w:val="20"/>
          <w:lang w:val="en-GB"/>
        </w:rPr>
        <w:t xml:space="preserve"> supplementation </w:t>
      </w:r>
      <w:r>
        <w:rPr>
          <w:rFonts w:ascii="Arial" w:hAnsi="Arial" w:cs="Arial"/>
          <w:b/>
          <w:sz w:val="20"/>
          <w:szCs w:val="20"/>
          <w:lang w:val="en-GB"/>
        </w:rPr>
        <w:t xml:space="preserve">improves </w:t>
      </w:r>
      <w:r w:rsidRPr="005D73CD">
        <w:rPr>
          <w:rFonts w:ascii="Arial" w:hAnsi="Arial" w:cs="Arial"/>
          <w:b/>
          <w:sz w:val="20"/>
          <w:szCs w:val="20"/>
          <w:lang w:val="en-GB"/>
        </w:rPr>
        <w:t>intestinal immune system development and vaccin</w:t>
      </w:r>
      <w:r>
        <w:rPr>
          <w:rFonts w:ascii="Arial" w:hAnsi="Arial" w:cs="Arial"/>
          <w:b/>
          <w:sz w:val="20"/>
          <w:szCs w:val="20"/>
          <w:lang w:val="en-GB"/>
        </w:rPr>
        <w:t>e</w:t>
      </w:r>
      <w:r w:rsidRPr="005D73CD">
        <w:rPr>
          <w:rFonts w:ascii="Arial" w:hAnsi="Arial" w:cs="Arial"/>
          <w:b/>
          <w:sz w:val="20"/>
          <w:szCs w:val="20"/>
          <w:lang w:val="en-GB"/>
        </w:rPr>
        <w:t xml:space="preserve"> response of the offspring</w:t>
      </w:r>
      <w:r>
        <w:rPr>
          <w:rFonts w:ascii="Arial" w:hAnsi="Arial" w:cs="Arial"/>
          <w:b/>
          <w:sz w:val="20"/>
          <w:szCs w:val="20"/>
          <w:lang w:val="en-GB"/>
        </w:rPr>
        <w:t>.</w:t>
      </w:r>
    </w:p>
    <w:p w:rsidR="008235B9" w:rsidRPr="00F01B69" w:rsidRDefault="008235B9" w:rsidP="004D3A0D">
      <w:pPr>
        <w:rPr>
          <w:rFonts w:ascii="Arial" w:hAnsi="Arial" w:cs="Arial"/>
          <w:b/>
          <w:smallCaps/>
          <w:sz w:val="20"/>
          <w:szCs w:val="20"/>
          <w:lang w:val="en-GB"/>
        </w:rPr>
      </w:pPr>
    </w:p>
    <w:p w:rsidR="008235B9" w:rsidRPr="005D73CD" w:rsidRDefault="008235B9" w:rsidP="004D3A0D">
      <w:pPr>
        <w:rPr>
          <w:rFonts w:ascii="Arial" w:hAnsi="Arial" w:cs="Arial"/>
          <w:b/>
          <w:sz w:val="20"/>
          <w:szCs w:val="20"/>
        </w:rPr>
      </w:pPr>
      <w:r w:rsidRPr="005D73CD">
        <w:rPr>
          <w:rFonts w:ascii="Arial" w:hAnsi="Arial" w:cs="Arial"/>
          <w:b/>
          <w:sz w:val="20"/>
          <w:szCs w:val="20"/>
        </w:rPr>
        <w:t>S. Ferret-Bernard</w:t>
      </w:r>
      <w:r w:rsidRPr="005D73CD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5D73CD">
        <w:rPr>
          <w:rFonts w:ascii="Arial" w:hAnsi="Arial" w:cs="Arial"/>
          <w:b/>
          <w:sz w:val="20"/>
          <w:szCs w:val="20"/>
        </w:rPr>
        <w:t>, C. Le Bourgot</w:t>
      </w:r>
      <w:r w:rsidRPr="005D73CD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5D73CD">
        <w:rPr>
          <w:rFonts w:ascii="Arial" w:hAnsi="Arial" w:cs="Arial"/>
          <w:b/>
          <w:sz w:val="20"/>
          <w:szCs w:val="20"/>
        </w:rPr>
        <w:t>, S. Blat</w:t>
      </w:r>
      <w:r w:rsidRPr="005D73CD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5D73CD">
        <w:rPr>
          <w:rFonts w:ascii="Arial" w:hAnsi="Arial" w:cs="Arial"/>
          <w:b/>
          <w:sz w:val="20"/>
          <w:szCs w:val="20"/>
        </w:rPr>
        <w:t>, E. Menendez-Aparicio</w:t>
      </w:r>
      <w:r w:rsidRPr="005D73CD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5D73CD">
        <w:rPr>
          <w:rFonts w:ascii="Arial" w:hAnsi="Arial" w:cs="Arial"/>
          <w:b/>
          <w:sz w:val="20"/>
          <w:szCs w:val="20"/>
        </w:rPr>
        <w:t>, G. Savary</w:t>
      </w:r>
      <w:r w:rsidRPr="005D73CD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5D73CD">
        <w:rPr>
          <w:rFonts w:ascii="Arial" w:hAnsi="Arial" w:cs="Arial"/>
          <w:b/>
          <w:sz w:val="20"/>
          <w:szCs w:val="20"/>
        </w:rPr>
        <w:t>, L. Le Normand</w:t>
      </w:r>
      <w:r w:rsidRPr="005D73CD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5D73CD">
        <w:rPr>
          <w:rFonts w:ascii="Arial" w:hAnsi="Arial" w:cs="Arial"/>
          <w:b/>
          <w:sz w:val="20"/>
          <w:szCs w:val="20"/>
        </w:rPr>
        <w:t>, E. Grand</w:t>
      </w:r>
      <w:r w:rsidRPr="005D73CD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5D73CD">
        <w:rPr>
          <w:rFonts w:ascii="Arial" w:hAnsi="Arial" w:cs="Arial"/>
          <w:b/>
          <w:sz w:val="20"/>
          <w:szCs w:val="20"/>
        </w:rPr>
        <w:t>, F. Respondek</w:t>
      </w:r>
      <w:r w:rsidRPr="005D73CD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5D73CD">
        <w:rPr>
          <w:rFonts w:ascii="Arial" w:hAnsi="Arial" w:cs="Arial"/>
          <w:b/>
          <w:sz w:val="20"/>
          <w:szCs w:val="20"/>
        </w:rPr>
        <w:t>, I. Le Huërou-Luron</w:t>
      </w:r>
      <w:r w:rsidRPr="005D73CD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8235B9" w:rsidRPr="005D73CD" w:rsidRDefault="008235B9" w:rsidP="004D3A0D">
      <w:pPr>
        <w:rPr>
          <w:rFonts w:ascii="Arial" w:hAnsi="Arial" w:cs="Arial"/>
          <w:sz w:val="20"/>
          <w:szCs w:val="20"/>
        </w:rPr>
      </w:pPr>
    </w:p>
    <w:p w:rsidR="008235B9" w:rsidRPr="00F01B69" w:rsidRDefault="008235B9" w:rsidP="004D3A0D">
      <w:pPr>
        <w:rPr>
          <w:rFonts w:ascii="Arial" w:hAnsi="Arial" w:cs="Arial"/>
          <w:b/>
          <w:i/>
          <w:sz w:val="20"/>
          <w:szCs w:val="20"/>
          <w:vertAlign w:val="superscript"/>
        </w:rPr>
      </w:pPr>
      <w:r w:rsidRPr="00F01B69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INRA U</w:t>
      </w:r>
      <w:r w:rsidRPr="00F01B69">
        <w:rPr>
          <w:rFonts w:ascii="Arial" w:hAnsi="Arial" w:cs="Arial"/>
          <w:sz w:val="20"/>
          <w:szCs w:val="20"/>
        </w:rPr>
        <w:t>R1</w:t>
      </w:r>
      <w:r>
        <w:rPr>
          <w:rFonts w:ascii="Arial" w:hAnsi="Arial" w:cs="Arial"/>
          <w:sz w:val="20"/>
          <w:szCs w:val="20"/>
        </w:rPr>
        <w:t>341</w:t>
      </w:r>
      <w:r w:rsidRPr="00F01B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ADNC</w:t>
      </w:r>
      <w:r w:rsidRPr="00F01B69">
        <w:rPr>
          <w:rFonts w:ascii="Arial" w:hAnsi="Arial" w:cs="Arial"/>
          <w:sz w:val="20"/>
          <w:szCs w:val="20"/>
        </w:rPr>
        <w:t>, F-35590 Saint-Gilles, France.</w:t>
      </w:r>
    </w:p>
    <w:p w:rsidR="008235B9" w:rsidRPr="00F01B69" w:rsidRDefault="008235B9" w:rsidP="004D3A0D">
      <w:pPr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TEREOS-SYRAL, F-67390 </w:t>
      </w:r>
      <w:proofErr w:type="spellStart"/>
      <w:smartTag w:uri="urn:schemas-microsoft-com:office:smarttags" w:element="place">
        <w:smartTag w:uri="urn:schemas-microsoft-com:office:smarttags" w:element="City">
          <w:r w:rsidRPr="00F01B69">
            <w:rPr>
              <w:rFonts w:ascii="Arial" w:hAnsi="Arial" w:cs="Arial"/>
              <w:sz w:val="20"/>
              <w:szCs w:val="20"/>
              <w:lang w:val="en-GB"/>
            </w:rPr>
            <w:t>Marckolsheim</w:t>
          </w:r>
        </w:smartTag>
        <w:proofErr w:type="spellEnd"/>
        <w:r w:rsidRPr="00F01B69">
          <w:rPr>
            <w:rFonts w:ascii="Arial" w:hAnsi="Arial" w:cs="Arial"/>
            <w:sz w:val="20"/>
            <w:szCs w:val="20"/>
            <w:lang w:val="en-GB"/>
          </w:rPr>
          <w:t xml:space="preserve">, </w:t>
        </w:r>
        <w:smartTag w:uri="urn:schemas-microsoft-com:office:smarttags" w:element="country-region">
          <w:r w:rsidRPr="00F01B69">
            <w:rPr>
              <w:rFonts w:ascii="Arial" w:hAnsi="Arial" w:cs="Arial"/>
              <w:sz w:val="20"/>
              <w:szCs w:val="20"/>
              <w:lang w:val="en-GB"/>
            </w:rPr>
            <w:t>France</w:t>
          </w:r>
        </w:smartTag>
      </w:smartTag>
      <w:r w:rsidRPr="00F01B69">
        <w:rPr>
          <w:rFonts w:ascii="Arial" w:hAnsi="Arial" w:cs="Arial"/>
          <w:sz w:val="20"/>
          <w:szCs w:val="20"/>
          <w:lang w:val="en-GB"/>
        </w:rPr>
        <w:t>.</w:t>
      </w:r>
      <w:proofErr w:type="gramEnd"/>
    </w:p>
    <w:p w:rsidR="008235B9" w:rsidRPr="00F01B69" w:rsidRDefault="008235B9" w:rsidP="004D3A0D">
      <w:pPr>
        <w:rPr>
          <w:rFonts w:ascii="Arial" w:hAnsi="Arial" w:cs="Arial"/>
          <w:sz w:val="20"/>
          <w:szCs w:val="20"/>
          <w:lang w:val="en-GB"/>
        </w:rPr>
      </w:pPr>
    </w:p>
    <w:p w:rsidR="008235B9" w:rsidRDefault="008235B9" w:rsidP="004D3A0D">
      <w:pPr>
        <w:rPr>
          <w:rFonts w:ascii="Arial" w:hAnsi="Arial" w:cs="Arial"/>
          <w:sz w:val="20"/>
          <w:szCs w:val="20"/>
          <w:lang w:val="en-GB"/>
        </w:rPr>
      </w:pPr>
      <w:r w:rsidRPr="00F01B69">
        <w:rPr>
          <w:rFonts w:ascii="Arial" w:hAnsi="Arial" w:cs="Arial"/>
          <w:b/>
          <w:sz w:val="20"/>
          <w:szCs w:val="20"/>
          <w:lang w:val="en-GB"/>
        </w:rPr>
        <w:t>Introduction: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 Diet supplementation with short-chain 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fructo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>-oligosaccharides (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scFOS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 xml:space="preserve">) is known to improve intestinal defence mechanisms and to modify local immune system development, notably by improving beneficial bacteria growth. Objectives of our study were to determine impact of 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scFOS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 xml:space="preserve"> m</w:t>
      </w:r>
      <w:r>
        <w:rPr>
          <w:rFonts w:ascii="Arial" w:hAnsi="Arial" w:cs="Arial"/>
          <w:sz w:val="20"/>
          <w:szCs w:val="20"/>
          <w:lang w:val="en-GB"/>
        </w:rPr>
        <w:t xml:space="preserve">aternal 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supplementation on </w:t>
      </w:r>
      <w:r>
        <w:rPr>
          <w:rFonts w:ascii="Arial" w:hAnsi="Arial" w:cs="Arial"/>
          <w:sz w:val="20"/>
          <w:szCs w:val="20"/>
          <w:lang w:val="en-GB"/>
        </w:rPr>
        <w:t xml:space="preserve">passive 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immunity transfer </w:t>
      </w:r>
      <w:r>
        <w:rPr>
          <w:rFonts w:ascii="Arial" w:hAnsi="Arial" w:cs="Arial"/>
          <w:sz w:val="20"/>
          <w:szCs w:val="20"/>
          <w:lang w:val="en-GB"/>
        </w:rPr>
        <w:t xml:space="preserve">and </w:t>
      </w:r>
      <w:r w:rsidRPr="00F01B69">
        <w:rPr>
          <w:rFonts w:ascii="Arial" w:hAnsi="Arial" w:cs="Arial"/>
          <w:sz w:val="20"/>
          <w:szCs w:val="20"/>
          <w:lang w:val="en-GB"/>
        </w:rPr>
        <w:t>consequences on development of intestinal immunity</w:t>
      </w:r>
      <w:r>
        <w:rPr>
          <w:rFonts w:ascii="Arial" w:hAnsi="Arial" w:cs="Arial"/>
          <w:sz w:val="20"/>
          <w:szCs w:val="20"/>
          <w:lang w:val="en-GB"/>
        </w:rPr>
        <w:t xml:space="preserve"> and vaccine response of the offspring.</w:t>
      </w:r>
    </w:p>
    <w:p w:rsidR="008235B9" w:rsidRDefault="008235B9" w:rsidP="004D3A0D">
      <w:pPr>
        <w:rPr>
          <w:rFonts w:ascii="Arial" w:hAnsi="Arial" w:cs="Arial"/>
          <w:sz w:val="20"/>
          <w:szCs w:val="20"/>
          <w:lang w:val="en-GB"/>
        </w:rPr>
      </w:pPr>
    </w:p>
    <w:p w:rsidR="008235B9" w:rsidRDefault="008235B9" w:rsidP="00D374DE">
      <w:pPr>
        <w:rPr>
          <w:rFonts w:ascii="Arial" w:hAnsi="Arial" w:cs="Arial"/>
          <w:sz w:val="20"/>
          <w:szCs w:val="20"/>
          <w:lang w:val="en-GB"/>
        </w:rPr>
      </w:pPr>
      <w:r w:rsidRPr="00F01B69">
        <w:rPr>
          <w:rFonts w:ascii="Arial" w:hAnsi="Arial" w:cs="Arial"/>
          <w:b/>
          <w:sz w:val="20"/>
          <w:szCs w:val="20"/>
          <w:lang w:val="en-GB"/>
        </w:rPr>
        <w:t>Material &amp; Methods: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 24 sows received during the last month of their </w:t>
      </w:r>
      <w:r>
        <w:rPr>
          <w:rFonts w:ascii="Arial" w:hAnsi="Arial" w:cs="Arial"/>
          <w:sz w:val="20"/>
          <w:szCs w:val="20"/>
          <w:lang w:val="en-GB"/>
        </w:rPr>
        <w:t>gestation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 and lactation a diet supplemented with 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scFOS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 xml:space="preserve"> (SUPP group)</w:t>
      </w:r>
      <w:r w:rsidRPr="007610D5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or not (CTRL group)</w:t>
      </w:r>
      <w:r w:rsidRPr="00F01B69">
        <w:rPr>
          <w:rFonts w:ascii="Arial" w:hAnsi="Arial" w:cs="Arial"/>
          <w:sz w:val="20"/>
          <w:szCs w:val="20"/>
          <w:lang w:val="en-GB"/>
        </w:rPr>
        <w:t>. Systemic immunity has been evaluated by serum immunoglobulin dosage (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IgG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 xml:space="preserve"> and IgA) from sows (</w:t>
      </w:r>
      <w:r w:rsidRPr="007610D5">
        <w:rPr>
          <w:rFonts w:ascii="Arial" w:hAnsi="Arial" w:cs="Arial"/>
          <w:sz w:val="20"/>
          <w:szCs w:val="20"/>
          <w:lang w:val="en-GB"/>
        </w:rPr>
        <w:t>28 and 7 days before farrowing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) and </w:t>
      </w:r>
      <w:r w:rsidRPr="007610D5">
        <w:rPr>
          <w:rFonts w:ascii="Arial" w:hAnsi="Arial" w:cs="Arial"/>
          <w:sz w:val="20"/>
          <w:szCs w:val="20"/>
          <w:lang w:val="en-GB"/>
        </w:rPr>
        <w:t xml:space="preserve">7 (n≈105/group) and 21 days old (n≈90/group) suckling piglets.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</w:t>
      </w:r>
      <w:r w:rsidRPr="00F01B69">
        <w:rPr>
          <w:rFonts w:ascii="Arial" w:hAnsi="Arial" w:cs="Arial"/>
          <w:sz w:val="20"/>
          <w:szCs w:val="20"/>
          <w:lang w:val="en-GB"/>
        </w:rPr>
        <w:t>gG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>, IgA as well as TGF</w:t>
      </w:r>
      <w:r w:rsidRPr="00F01B69">
        <w:rPr>
          <w:rFonts w:ascii="Symbol" w:hAnsi="Symbol" w:cs="Arial"/>
          <w:sz w:val="20"/>
          <w:szCs w:val="20"/>
          <w:lang w:val="en-GB"/>
        </w:rPr>
        <w:t>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1 have been analysed on 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colostrum</w:t>
      </w:r>
      <w:r>
        <w:rPr>
          <w:rFonts w:ascii="Arial" w:hAnsi="Arial" w:cs="Arial"/>
          <w:sz w:val="20"/>
          <w:szCs w:val="20"/>
          <w:lang w:val="en-GB"/>
        </w:rPr>
        <w:t>s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 xml:space="preserve"> collected </w:t>
      </w:r>
      <w:r w:rsidRPr="00206714">
        <w:rPr>
          <w:rFonts w:ascii="Arial" w:hAnsi="Arial" w:cs="Arial"/>
          <w:sz w:val="20"/>
          <w:szCs w:val="20"/>
          <w:lang w:val="en-GB"/>
        </w:rPr>
        <w:t>within 15h of farrowing and mature milk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206714">
        <w:rPr>
          <w:rFonts w:ascii="Arial" w:hAnsi="Arial" w:cs="Arial"/>
          <w:sz w:val="20"/>
          <w:szCs w:val="20"/>
          <w:lang w:val="en-GB"/>
        </w:rPr>
        <w:t xml:space="preserve"> from 7 and 21 days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. </w:t>
      </w:r>
      <w:r w:rsidRPr="00D374DE">
        <w:rPr>
          <w:rFonts w:ascii="Arial" w:hAnsi="Arial" w:cs="Arial"/>
          <w:sz w:val="20"/>
          <w:szCs w:val="20"/>
          <w:lang w:val="en-GB"/>
        </w:rPr>
        <w:t>One piglet per litter was sacrificed at 21 days old (n=10/group). Monon</w:t>
      </w:r>
      <w:r>
        <w:rPr>
          <w:rFonts w:ascii="Arial" w:hAnsi="Arial" w:cs="Arial"/>
          <w:sz w:val="20"/>
          <w:szCs w:val="20"/>
          <w:lang w:val="en-GB"/>
        </w:rPr>
        <w:t>uclear cells have been isolated</w:t>
      </w:r>
      <w:r w:rsidRPr="00D374DE">
        <w:rPr>
          <w:rFonts w:ascii="Arial" w:hAnsi="Arial" w:cs="Arial"/>
          <w:sz w:val="20"/>
          <w:szCs w:val="20"/>
          <w:lang w:val="en-GB"/>
        </w:rPr>
        <w:t xml:space="preserve"> from </w:t>
      </w:r>
      <w:proofErr w:type="spellStart"/>
      <w:r w:rsidRPr="00D374DE">
        <w:rPr>
          <w:rFonts w:ascii="Arial" w:hAnsi="Arial" w:cs="Arial"/>
          <w:sz w:val="20"/>
          <w:szCs w:val="20"/>
          <w:lang w:val="en-GB"/>
        </w:rPr>
        <w:t>ileal</w:t>
      </w:r>
      <w:proofErr w:type="spellEnd"/>
      <w:r w:rsidRPr="00D374D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374DE">
        <w:rPr>
          <w:rFonts w:ascii="Arial" w:hAnsi="Arial" w:cs="Arial"/>
          <w:sz w:val="20"/>
          <w:szCs w:val="20"/>
          <w:lang w:val="en-GB"/>
        </w:rPr>
        <w:t>Peyer’s</w:t>
      </w:r>
      <w:proofErr w:type="spellEnd"/>
      <w:r w:rsidRPr="00D374DE">
        <w:rPr>
          <w:rFonts w:ascii="Arial" w:hAnsi="Arial" w:cs="Arial"/>
          <w:sz w:val="20"/>
          <w:szCs w:val="20"/>
          <w:lang w:val="en-GB"/>
        </w:rPr>
        <w:t xml:space="preserve"> patches (</w:t>
      </w:r>
      <w:proofErr w:type="spellStart"/>
      <w:r w:rsidRPr="00D374DE">
        <w:rPr>
          <w:rFonts w:ascii="Arial" w:hAnsi="Arial" w:cs="Arial"/>
          <w:sz w:val="20"/>
          <w:szCs w:val="20"/>
          <w:lang w:val="en-GB"/>
        </w:rPr>
        <w:t>ilPP</w:t>
      </w:r>
      <w:proofErr w:type="spellEnd"/>
      <w:r w:rsidRPr="00D374DE">
        <w:rPr>
          <w:rFonts w:ascii="Arial" w:hAnsi="Arial" w:cs="Arial"/>
          <w:sz w:val="20"/>
          <w:szCs w:val="20"/>
          <w:lang w:val="en-GB"/>
        </w:rPr>
        <w:t xml:space="preserve">) and mesenteric lymph nodes (MLN) and cultured </w:t>
      </w:r>
      <w:r w:rsidRPr="00D374DE">
        <w:rPr>
          <w:rFonts w:ascii="Arial" w:hAnsi="Arial" w:cs="Arial"/>
          <w:i/>
          <w:iCs/>
          <w:sz w:val="20"/>
          <w:szCs w:val="20"/>
          <w:lang w:val="en-GB"/>
        </w:rPr>
        <w:t>in vitro</w:t>
      </w:r>
      <w:r w:rsidRPr="00D374DE">
        <w:rPr>
          <w:rFonts w:ascii="Arial" w:hAnsi="Arial" w:cs="Arial"/>
          <w:sz w:val="20"/>
          <w:szCs w:val="20"/>
          <w:lang w:val="en-GB"/>
        </w:rPr>
        <w:t>. Secretory activity (</w:t>
      </w:r>
      <w:proofErr w:type="spellStart"/>
      <w:r w:rsidRPr="00D374DE">
        <w:rPr>
          <w:rFonts w:ascii="Arial" w:hAnsi="Arial" w:cs="Arial"/>
          <w:sz w:val="20"/>
          <w:szCs w:val="20"/>
          <w:lang w:val="en-GB"/>
        </w:rPr>
        <w:t>sIgA</w:t>
      </w:r>
      <w:proofErr w:type="spellEnd"/>
      <w:r w:rsidRPr="00D374DE">
        <w:rPr>
          <w:rFonts w:ascii="Arial" w:hAnsi="Arial" w:cs="Arial"/>
          <w:sz w:val="20"/>
          <w:szCs w:val="20"/>
          <w:lang w:val="en-GB"/>
        </w:rPr>
        <w:t>) and cytokine pattern (IFN</w:t>
      </w:r>
      <w:r w:rsidRPr="00D374DE">
        <w:rPr>
          <w:rFonts w:ascii="Arial" w:hAnsi="Arial" w:cs="Arial"/>
          <w:sz w:val="20"/>
          <w:szCs w:val="20"/>
        </w:rPr>
        <w:sym w:font="Symbol" w:char="F067"/>
      </w:r>
      <w:r w:rsidRPr="00D374DE">
        <w:rPr>
          <w:rFonts w:ascii="Arial" w:hAnsi="Arial" w:cs="Arial"/>
          <w:sz w:val="20"/>
          <w:szCs w:val="20"/>
          <w:lang w:val="en-GB"/>
        </w:rPr>
        <w:t xml:space="preserve"> and IL-10) of </w:t>
      </w:r>
      <w:proofErr w:type="spellStart"/>
      <w:r w:rsidRPr="00D374DE">
        <w:rPr>
          <w:rFonts w:ascii="Arial" w:hAnsi="Arial" w:cs="Arial"/>
          <w:sz w:val="20"/>
          <w:szCs w:val="20"/>
          <w:lang w:val="en-GB"/>
        </w:rPr>
        <w:t>ilPP</w:t>
      </w:r>
      <w:proofErr w:type="spellEnd"/>
      <w:r w:rsidRPr="00D374DE">
        <w:rPr>
          <w:rFonts w:ascii="Arial" w:hAnsi="Arial" w:cs="Arial"/>
          <w:sz w:val="20"/>
          <w:szCs w:val="20"/>
          <w:lang w:val="en-GB"/>
        </w:rPr>
        <w:t xml:space="preserve"> cells have been studied following </w:t>
      </w:r>
      <w:r>
        <w:rPr>
          <w:rFonts w:ascii="Arial" w:hAnsi="Arial" w:cs="Arial"/>
          <w:sz w:val="20"/>
          <w:szCs w:val="20"/>
          <w:lang w:val="en-GB"/>
        </w:rPr>
        <w:t>respectively, 7 day (basal condition) and 3 day</w:t>
      </w:r>
      <w:r w:rsidRPr="00D374DE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Pr="00D374DE">
        <w:rPr>
          <w:rFonts w:ascii="Arial" w:hAnsi="Arial" w:cs="Arial"/>
          <w:sz w:val="20"/>
          <w:szCs w:val="20"/>
          <w:lang w:val="en-GB"/>
        </w:rPr>
        <w:t>concanavalin</w:t>
      </w:r>
      <w:proofErr w:type="spellEnd"/>
      <w:r w:rsidRPr="00D374DE">
        <w:rPr>
          <w:rFonts w:ascii="Arial" w:hAnsi="Arial" w:cs="Arial"/>
          <w:sz w:val="20"/>
          <w:szCs w:val="20"/>
          <w:lang w:val="en-GB"/>
        </w:rPr>
        <w:t xml:space="preserve"> A stimulation)</w:t>
      </w:r>
      <w:r>
        <w:rPr>
          <w:rFonts w:ascii="Arial" w:hAnsi="Arial" w:cs="Arial"/>
          <w:sz w:val="20"/>
          <w:szCs w:val="20"/>
          <w:lang w:val="en-GB"/>
        </w:rPr>
        <w:t xml:space="preserve"> cultures</w:t>
      </w:r>
      <w:r w:rsidRPr="00D374DE">
        <w:rPr>
          <w:rFonts w:ascii="Arial" w:hAnsi="Arial" w:cs="Arial"/>
          <w:sz w:val="20"/>
          <w:szCs w:val="20"/>
          <w:lang w:val="en-GB"/>
        </w:rPr>
        <w:t>. Cytokine pattern of MLN cells has also been evaluated</w:t>
      </w:r>
      <w:r>
        <w:rPr>
          <w:rFonts w:ascii="Arial" w:hAnsi="Arial" w:cs="Arial"/>
          <w:sz w:val="20"/>
          <w:szCs w:val="20"/>
          <w:lang w:val="en-GB"/>
        </w:rPr>
        <w:t xml:space="preserve">. From weaning onwards, piglets also received diet supplemented or not with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scFOS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We studied their response to influenza vaccination by evaluating serum levels of specific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IgG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3 weeks after boost stimulation.</w:t>
      </w:r>
    </w:p>
    <w:p w:rsidR="008235B9" w:rsidRPr="00D374DE" w:rsidRDefault="008235B9" w:rsidP="00D374DE">
      <w:pPr>
        <w:rPr>
          <w:rFonts w:ascii="Arial" w:hAnsi="Arial" w:cs="Arial"/>
          <w:sz w:val="20"/>
          <w:szCs w:val="20"/>
          <w:lang w:val="en-GB"/>
        </w:rPr>
      </w:pPr>
    </w:p>
    <w:p w:rsidR="008235B9" w:rsidRPr="00D374DE" w:rsidRDefault="008235B9" w:rsidP="00D374DE">
      <w:pPr>
        <w:rPr>
          <w:rFonts w:ascii="Arial" w:hAnsi="Arial" w:cs="Arial"/>
          <w:sz w:val="20"/>
          <w:szCs w:val="20"/>
          <w:lang w:val="en-GB"/>
        </w:rPr>
      </w:pPr>
      <w:r w:rsidRPr="00F01B69">
        <w:rPr>
          <w:rFonts w:ascii="Arial" w:hAnsi="Arial" w:cs="Arial"/>
          <w:b/>
          <w:sz w:val="20"/>
          <w:szCs w:val="20"/>
          <w:lang w:val="en-GB"/>
        </w:rPr>
        <w:t xml:space="preserve">Results: 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scFOS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 xml:space="preserve"> supplementation did not affect </w:t>
      </w:r>
      <w:r>
        <w:rPr>
          <w:rFonts w:ascii="Arial" w:hAnsi="Arial" w:cs="Arial"/>
          <w:sz w:val="20"/>
          <w:szCs w:val="20"/>
          <w:lang w:val="en-GB"/>
        </w:rPr>
        <w:t>sow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IgG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 xml:space="preserve"> and IgA serum </w:t>
      </w:r>
      <w:r>
        <w:rPr>
          <w:rFonts w:ascii="Arial" w:hAnsi="Arial" w:cs="Arial"/>
          <w:sz w:val="20"/>
          <w:szCs w:val="20"/>
          <w:lang w:val="en-GB"/>
        </w:rPr>
        <w:t>concentration</w:t>
      </w:r>
      <w:r w:rsidRPr="00F01B69">
        <w:rPr>
          <w:rFonts w:ascii="Arial" w:hAnsi="Arial" w:cs="Arial"/>
          <w:sz w:val="20"/>
          <w:szCs w:val="20"/>
          <w:lang w:val="en-GB"/>
        </w:rPr>
        <w:t>s before parturition. IgA concentration similarly increased between 28 and 7 days before parturition in both groups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(p&lt;0.001). Contrarily, 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colostral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 xml:space="preserve"> IgA concentration (p&lt;0.04) as well as TGF</w:t>
      </w:r>
      <w:r w:rsidRPr="00F01B69">
        <w:rPr>
          <w:rFonts w:ascii="Symbol" w:hAnsi="Symbol" w:cs="Arial"/>
          <w:sz w:val="20"/>
          <w:szCs w:val="20"/>
          <w:lang w:val="en-GB"/>
        </w:rPr>
        <w:t>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1 one (p=0.1) were </w:t>
      </w:r>
      <w:r>
        <w:rPr>
          <w:rFonts w:ascii="Arial" w:hAnsi="Arial" w:cs="Arial"/>
          <w:sz w:val="20"/>
          <w:szCs w:val="20"/>
          <w:lang w:val="en-GB"/>
        </w:rPr>
        <w:t>greater in SUPP sows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(</w:t>
      </w:r>
      <w:r w:rsidRPr="00D374DE">
        <w:rPr>
          <w:rFonts w:ascii="Arial" w:hAnsi="Arial" w:cs="Arial"/>
          <w:sz w:val="20"/>
          <w:szCs w:val="20"/>
          <w:lang w:val="en-GB"/>
        </w:rPr>
        <w:t>signs of cellular recruitment and/or higher production in mammary glands of SUPP sows at the end of gestation)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Pr="00D374DE">
        <w:rPr>
          <w:rFonts w:ascii="Arial" w:hAnsi="Arial" w:cs="Arial"/>
          <w:sz w:val="20"/>
          <w:szCs w:val="20"/>
          <w:lang w:val="en-GB"/>
        </w:rPr>
        <w:t xml:space="preserve">However, there was a rapid decrease of the immune quality between colostrum and mature milks in both groups. 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The decrease of serum 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IgG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 xml:space="preserve"> and IgA observed between </w:t>
      </w:r>
      <w:r>
        <w:rPr>
          <w:rFonts w:ascii="Arial" w:hAnsi="Arial" w:cs="Arial"/>
          <w:sz w:val="20"/>
          <w:szCs w:val="20"/>
          <w:lang w:val="en-GB"/>
        </w:rPr>
        <w:t>7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 and </w:t>
      </w:r>
      <w:r>
        <w:rPr>
          <w:rFonts w:ascii="Arial" w:hAnsi="Arial" w:cs="Arial"/>
          <w:sz w:val="20"/>
          <w:szCs w:val="20"/>
          <w:lang w:val="en-GB"/>
        </w:rPr>
        <w:t>21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days 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old piglets was not modified by mother supplementation. At the mucosal level, secretion </w:t>
      </w:r>
      <w:r>
        <w:rPr>
          <w:rFonts w:ascii="Arial" w:hAnsi="Arial" w:cs="Arial"/>
          <w:sz w:val="20"/>
          <w:szCs w:val="20"/>
          <w:lang w:val="en-GB"/>
        </w:rPr>
        <w:t xml:space="preserve">of </w:t>
      </w:r>
      <w:r w:rsidRPr="00F01B69">
        <w:rPr>
          <w:rFonts w:ascii="Arial" w:hAnsi="Arial" w:cs="Arial"/>
          <w:sz w:val="20"/>
          <w:szCs w:val="20"/>
          <w:lang w:val="en-GB"/>
        </w:rPr>
        <w:t>IFN</w:t>
      </w:r>
      <w:r w:rsidRPr="00F01B69">
        <w:rPr>
          <w:rFonts w:ascii="Symbol" w:hAnsi="Symbol" w:cs="Arial"/>
          <w:sz w:val="20"/>
          <w:szCs w:val="20"/>
          <w:lang w:val="en-GB"/>
        </w:rPr>
        <w:t></w:t>
      </w:r>
      <w:r>
        <w:rPr>
          <w:rFonts w:ascii="Arial" w:hAnsi="Arial" w:cs="Arial"/>
          <w:sz w:val="20"/>
          <w:szCs w:val="20"/>
          <w:lang w:val="en-GB"/>
        </w:rPr>
        <w:t xml:space="preserve">, but not 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sIgA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 xml:space="preserve"> and IL-10</w:t>
      </w:r>
      <w:r>
        <w:rPr>
          <w:rFonts w:ascii="Arial" w:hAnsi="Arial" w:cs="Arial"/>
          <w:sz w:val="20"/>
          <w:szCs w:val="20"/>
          <w:lang w:val="en-GB"/>
        </w:rPr>
        <w:t>,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 by 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i</w:t>
      </w:r>
      <w:r>
        <w:rPr>
          <w:rFonts w:ascii="Arial" w:hAnsi="Arial" w:cs="Arial"/>
          <w:sz w:val="20"/>
          <w:szCs w:val="20"/>
          <w:lang w:val="en-GB"/>
        </w:rPr>
        <w:t>lPP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cells 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(p&lt;0.02) </w:t>
      </w:r>
      <w:r>
        <w:rPr>
          <w:rFonts w:ascii="Arial" w:hAnsi="Arial" w:cs="Arial"/>
          <w:sz w:val="20"/>
          <w:szCs w:val="20"/>
          <w:lang w:val="en-GB"/>
        </w:rPr>
        <w:t xml:space="preserve">and MLN cells (p=0.1) </w:t>
      </w:r>
      <w:r w:rsidRPr="00F01B69">
        <w:rPr>
          <w:rFonts w:ascii="Arial" w:hAnsi="Arial" w:cs="Arial"/>
          <w:sz w:val="20"/>
          <w:szCs w:val="20"/>
          <w:lang w:val="en-GB"/>
        </w:rPr>
        <w:t>was higher in piglets whose mothers received the supplemented diet.</w:t>
      </w:r>
      <w:r>
        <w:rPr>
          <w:rFonts w:ascii="Arial" w:hAnsi="Arial" w:cs="Arial"/>
          <w:sz w:val="20"/>
          <w:szCs w:val="20"/>
          <w:lang w:val="en-GB"/>
        </w:rPr>
        <w:t xml:space="preserve"> Challenge with influenza vaccine triggered higher specific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IgG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level following supplementation after weaning (p&lt;0.03).</w:t>
      </w:r>
    </w:p>
    <w:p w:rsidR="008235B9" w:rsidRPr="00F01B69" w:rsidRDefault="008235B9" w:rsidP="004D3A0D">
      <w:pPr>
        <w:rPr>
          <w:rFonts w:ascii="Arial" w:hAnsi="Arial" w:cs="Arial"/>
          <w:sz w:val="20"/>
          <w:szCs w:val="20"/>
          <w:lang w:val="en-GB"/>
        </w:rPr>
      </w:pPr>
    </w:p>
    <w:p w:rsidR="008235B9" w:rsidRPr="00F01B69" w:rsidRDefault="008235B9" w:rsidP="004D3A0D">
      <w:pPr>
        <w:rPr>
          <w:rFonts w:ascii="Arial" w:hAnsi="Arial" w:cs="Arial"/>
          <w:sz w:val="20"/>
          <w:szCs w:val="20"/>
          <w:lang w:val="en-GB"/>
        </w:rPr>
      </w:pPr>
      <w:r w:rsidRPr="00F01B69">
        <w:rPr>
          <w:rFonts w:ascii="Arial" w:hAnsi="Arial" w:cs="Arial"/>
          <w:b/>
          <w:sz w:val="20"/>
          <w:szCs w:val="20"/>
          <w:lang w:val="en-GB"/>
        </w:rPr>
        <w:t xml:space="preserve">Conclusion: 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Diet supplementation with 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scFOS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 xml:space="preserve"> during the last month of </w:t>
      </w:r>
      <w:r>
        <w:rPr>
          <w:rFonts w:ascii="Arial" w:hAnsi="Arial" w:cs="Arial"/>
          <w:sz w:val="20"/>
          <w:szCs w:val="20"/>
          <w:lang w:val="en-GB"/>
        </w:rPr>
        <w:t>gestation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 and lactation reinforces </w:t>
      </w:r>
      <w:r>
        <w:rPr>
          <w:rFonts w:ascii="Arial" w:hAnsi="Arial" w:cs="Arial"/>
          <w:sz w:val="20"/>
          <w:szCs w:val="20"/>
          <w:lang w:val="en-GB"/>
        </w:rPr>
        <w:t xml:space="preserve">sow 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colostrum immune quality and </w:t>
      </w:r>
      <w:r>
        <w:rPr>
          <w:rFonts w:ascii="Arial" w:hAnsi="Arial" w:cs="Arial"/>
          <w:sz w:val="20"/>
          <w:szCs w:val="20"/>
          <w:lang w:val="en-GB"/>
        </w:rPr>
        <w:t>improves</w:t>
      </w:r>
      <w:r w:rsidRPr="00F01B69">
        <w:rPr>
          <w:rFonts w:ascii="Arial" w:hAnsi="Arial" w:cs="Arial"/>
          <w:b/>
          <w:caps/>
          <w:sz w:val="20"/>
          <w:szCs w:val="20"/>
          <w:lang w:val="en-GB"/>
        </w:rPr>
        <w:t xml:space="preserve"> 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intestinal immune system development </w:t>
      </w:r>
      <w:r>
        <w:rPr>
          <w:rFonts w:ascii="Arial" w:hAnsi="Arial" w:cs="Arial"/>
          <w:sz w:val="20"/>
          <w:szCs w:val="20"/>
          <w:lang w:val="en-GB"/>
        </w:rPr>
        <w:t>as well as vaccine response</w:t>
      </w:r>
      <w:r w:rsidRPr="009D4073">
        <w:rPr>
          <w:rFonts w:ascii="Arial" w:hAnsi="Arial" w:cs="Arial"/>
          <w:sz w:val="20"/>
          <w:szCs w:val="20"/>
          <w:lang w:val="en-GB"/>
        </w:rPr>
        <w:t xml:space="preserve"> 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of the offspring. 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Microbiota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 xml:space="preserve"> role in these modifications </w:t>
      </w:r>
      <w:r>
        <w:rPr>
          <w:rFonts w:ascii="Arial" w:hAnsi="Arial" w:cs="Arial"/>
          <w:sz w:val="20"/>
          <w:szCs w:val="20"/>
          <w:lang w:val="en-GB"/>
        </w:rPr>
        <w:t xml:space="preserve">is </w:t>
      </w:r>
      <w:r w:rsidRPr="00F01B69">
        <w:rPr>
          <w:rFonts w:ascii="Arial" w:hAnsi="Arial" w:cs="Arial"/>
          <w:sz w:val="20"/>
          <w:szCs w:val="20"/>
          <w:lang w:val="en-GB"/>
        </w:rPr>
        <w:t>worth to be evaluated.</w:t>
      </w:r>
    </w:p>
    <w:p w:rsidR="008235B9" w:rsidRPr="00F01B69" w:rsidRDefault="008235B9" w:rsidP="004D3A0D">
      <w:pPr>
        <w:rPr>
          <w:rFonts w:ascii="Arial" w:hAnsi="Arial" w:cs="Arial"/>
          <w:sz w:val="20"/>
          <w:szCs w:val="20"/>
          <w:lang w:val="en-GB"/>
        </w:rPr>
      </w:pPr>
    </w:p>
    <w:sectPr w:rsidR="008235B9" w:rsidRPr="00F01B69" w:rsidSect="00C4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2F" w:rsidRDefault="00B84A2F">
      <w:r>
        <w:separator/>
      </w:r>
    </w:p>
  </w:endnote>
  <w:endnote w:type="continuationSeparator" w:id="0">
    <w:p w:rsidR="00B84A2F" w:rsidRDefault="00B8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2F" w:rsidRDefault="00B84A2F">
      <w:r>
        <w:separator/>
      </w:r>
    </w:p>
  </w:footnote>
  <w:footnote w:type="continuationSeparator" w:id="0">
    <w:p w:rsidR="00B84A2F" w:rsidRDefault="00B84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4E81"/>
    <w:multiLevelType w:val="hybridMultilevel"/>
    <w:tmpl w:val="823A654A"/>
    <w:lvl w:ilvl="0" w:tplc="DF7C38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B0"/>
    <w:rsid w:val="00021CC9"/>
    <w:rsid w:val="000241FA"/>
    <w:rsid w:val="0002475F"/>
    <w:rsid w:val="00024A72"/>
    <w:rsid w:val="00037553"/>
    <w:rsid w:val="00080CB9"/>
    <w:rsid w:val="000F406B"/>
    <w:rsid w:val="00100EC1"/>
    <w:rsid w:val="001A729C"/>
    <w:rsid w:val="001E17B1"/>
    <w:rsid w:val="001E4C74"/>
    <w:rsid w:val="001E6B3C"/>
    <w:rsid w:val="001F6DD1"/>
    <w:rsid w:val="00206714"/>
    <w:rsid w:val="002619B9"/>
    <w:rsid w:val="00290BB5"/>
    <w:rsid w:val="00296699"/>
    <w:rsid w:val="002B1593"/>
    <w:rsid w:val="002B7876"/>
    <w:rsid w:val="002D3A15"/>
    <w:rsid w:val="002D6442"/>
    <w:rsid w:val="00326FA4"/>
    <w:rsid w:val="0032731A"/>
    <w:rsid w:val="00337555"/>
    <w:rsid w:val="00350B80"/>
    <w:rsid w:val="003A4B19"/>
    <w:rsid w:val="003B3F8E"/>
    <w:rsid w:val="004948E4"/>
    <w:rsid w:val="004C5BE7"/>
    <w:rsid w:val="004D3A0D"/>
    <w:rsid w:val="00582795"/>
    <w:rsid w:val="005969BB"/>
    <w:rsid w:val="005C6705"/>
    <w:rsid w:val="005D73CD"/>
    <w:rsid w:val="005F1FFF"/>
    <w:rsid w:val="00610C4B"/>
    <w:rsid w:val="0067149E"/>
    <w:rsid w:val="00675E3C"/>
    <w:rsid w:val="00700EF6"/>
    <w:rsid w:val="00710528"/>
    <w:rsid w:val="00735061"/>
    <w:rsid w:val="007610D5"/>
    <w:rsid w:val="00773DD8"/>
    <w:rsid w:val="007A4C8C"/>
    <w:rsid w:val="007C77B1"/>
    <w:rsid w:val="007D13AE"/>
    <w:rsid w:val="007D5CA2"/>
    <w:rsid w:val="008235B9"/>
    <w:rsid w:val="00840BF3"/>
    <w:rsid w:val="00863FB0"/>
    <w:rsid w:val="008F2BAA"/>
    <w:rsid w:val="00931AD5"/>
    <w:rsid w:val="00945C5E"/>
    <w:rsid w:val="009C04B5"/>
    <w:rsid w:val="009D2A30"/>
    <w:rsid w:val="009D4073"/>
    <w:rsid w:val="009E2C0B"/>
    <w:rsid w:val="00A1410C"/>
    <w:rsid w:val="00A15E58"/>
    <w:rsid w:val="00A212FF"/>
    <w:rsid w:val="00A34D3F"/>
    <w:rsid w:val="00A9704F"/>
    <w:rsid w:val="00AB45B0"/>
    <w:rsid w:val="00AB7F90"/>
    <w:rsid w:val="00AE0689"/>
    <w:rsid w:val="00AF4E64"/>
    <w:rsid w:val="00B50A2B"/>
    <w:rsid w:val="00B7451D"/>
    <w:rsid w:val="00B84A2F"/>
    <w:rsid w:val="00B94B9F"/>
    <w:rsid w:val="00C2367A"/>
    <w:rsid w:val="00C23FB2"/>
    <w:rsid w:val="00C41005"/>
    <w:rsid w:val="00C7478D"/>
    <w:rsid w:val="00CA3641"/>
    <w:rsid w:val="00CC0282"/>
    <w:rsid w:val="00CE6447"/>
    <w:rsid w:val="00CF234B"/>
    <w:rsid w:val="00D07BB9"/>
    <w:rsid w:val="00D2106C"/>
    <w:rsid w:val="00D27677"/>
    <w:rsid w:val="00D3352A"/>
    <w:rsid w:val="00D374DE"/>
    <w:rsid w:val="00D63A3D"/>
    <w:rsid w:val="00DE5D66"/>
    <w:rsid w:val="00DF75CD"/>
    <w:rsid w:val="00E27428"/>
    <w:rsid w:val="00E34138"/>
    <w:rsid w:val="00E422BB"/>
    <w:rsid w:val="00E43A5B"/>
    <w:rsid w:val="00E60ECC"/>
    <w:rsid w:val="00E7063D"/>
    <w:rsid w:val="00E860E1"/>
    <w:rsid w:val="00E86688"/>
    <w:rsid w:val="00E86DCB"/>
    <w:rsid w:val="00E951DD"/>
    <w:rsid w:val="00EB223D"/>
    <w:rsid w:val="00EE033A"/>
    <w:rsid w:val="00EF2654"/>
    <w:rsid w:val="00F004B3"/>
    <w:rsid w:val="00F0190F"/>
    <w:rsid w:val="00F01B69"/>
    <w:rsid w:val="00F403FF"/>
    <w:rsid w:val="00F42F34"/>
    <w:rsid w:val="00F44DC2"/>
    <w:rsid w:val="00F45020"/>
    <w:rsid w:val="00F54A7B"/>
    <w:rsid w:val="00F66D5C"/>
    <w:rsid w:val="00FC281D"/>
    <w:rsid w:val="00FC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0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350B8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AE0689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AE0689"/>
    <w:rPr>
      <w:rFonts w:ascii="Calibri" w:hAnsi="Calibri" w:cs="Times New Roman"/>
      <w:lang w:val="fr-FR" w:eastAsia="en-US"/>
    </w:rPr>
  </w:style>
  <w:style w:type="character" w:styleId="Appelnotedebasdep">
    <w:name w:val="footnote reference"/>
    <w:basedOn w:val="Policepardfaut"/>
    <w:uiPriority w:val="99"/>
    <w:semiHidden/>
    <w:rsid w:val="00AE0689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rsid w:val="004C5BE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C5BE7"/>
    <w:rPr>
      <w:rFonts w:ascii="Tahoma" w:hAnsi="Tahoma" w:cs="Times New Roman"/>
      <w:sz w:val="16"/>
    </w:rPr>
  </w:style>
  <w:style w:type="character" w:styleId="Marquedecommentaire">
    <w:name w:val="annotation reference"/>
    <w:basedOn w:val="Policepardfaut"/>
    <w:uiPriority w:val="99"/>
    <w:rsid w:val="00DE5D6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DE5D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DE5D66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DE5D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DE5D6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0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350B8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AE0689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AE0689"/>
    <w:rPr>
      <w:rFonts w:ascii="Calibri" w:hAnsi="Calibri" w:cs="Times New Roman"/>
      <w:lang w:val="fr-FR" w:eastAsia="en-US"/>
    </w:rPr>
  </w:style>
  <w:style w:type="character" w:styleId="Appelnotedebasdep">
    <w:name w:val="footnote reference"/>
    <w:basedOn w:val="Policepardfaut"/>
    <w:uiPriority w:val="99"/>
    <w:semiHidden/>
    <w:rsid w:val="00AE0689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rsid w:val="004C5BE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C5BE7"/>
    <w:rPr>
      <w:rFonts w:ascii="Tahoma" w:hAnsi="Tahoma" w:cs="Times New Roman"/>
      <w:sz w:val="16"/>
    </w:rPr>
  </w:style>
  <w:style w:type="character" w:styleId="Marquedecommentaire">
    <w:name w:val="annotation reference"/>
    <w:basedOn w:val="Policepardfaut"/>
    <w:uiPriority w:val="99"/>
    <w:rsid w:val="00DE5D6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DE5D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DE5D66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DE5D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DE5D6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8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Influence d’une supplémentation peri-partum en sc-FOS sur le développement du système immmunitaire intestinal des porcelets nouveau-nés</vt:lpstr>
    </vt:vector>
  </TitlesOfParts>
  <Company>INRA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Influence d’une supplémentation peri-partum en sc-FOS sur le développement du système immmunitaire intestinal des porcelets nouveau-nés</dc:title>
  <dc:creator>sferret</dc:creator>
  <cp:lastModifiedBy>Isabelle Luron</cp:lastModifiedBy>
  <cp:revision>2</cp:revision>
  <dcterms:created xsi:type="dcterms:W3CDTF">2011-12-16T06:47:00Z</dcterms:created>
  <dcterms:modified xsi:type="dcterms:W3CDTF">2011-12-16T06:47:00Z</dcterms:modified>
</cp:coreProperties>
</file>