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Phosphorous</w:t>
      </w:r>
      <w:r>
        <w:t xml:space="preserve"> </w:t>
      </w:r>
      <w:r>
        <w:t xml:space="preserve">mass</w:t>
      </w:r>
      <w:r>
        <w:t xml:space="preserve"> </w:t>
      </w:r>
      <w:r>
        <w:t xml:space="preserve">balance</w:t>
      </w:r>
      <w:r>
        <w:t xml:space="preserve"> </w:t>
      </w:r>
      <w:r>
        <w:t xml:space="preserve">of</w:t>
      </w:r>
      <w:r>
        <w:t xml:space="preserve"> </w:t>
      </w:r>
      <w:r>
        <w:t xml:space="preserve">French</w:t>
      </w:r>
      <w:r>
        <w:t xml:space="preserve"> </w:t>
      </w:r>
      <w:r>
        <w:t xml:space="preserve">vertical</w:t>
      </w:r>
      <w:r>
        <w:t xml:space="preserve"> </w:t>
      </w:r>
      <w:r>
        <w:t xml:space="preserve">flow</w:t>
      </w:r>
      <w:r>
        <w:t xml:space="preserve"> </w:t>
      </w:r>
      <w:r>
        <w:t xml:space="preserve">treatment</w:t>
      </w:r>
      <w:r>
        <w:t xml:space="preserve"> </w:t>
      </w:r>
      <w:r>
        <w:t xml:space="preserve">wetlands</w:t>
      </w:r>
    </w:p>
    <w:p>
      <w:pPr>
        <w:pStyle w:val="Author"/>
      </w:pPr>
      <w:r>
        <w:t xml:space="preserve">Nicolas</w:t>
      </w:r>
      <w:r>
        <w:t xml:space="preserve"> </w:t>
      </w:r>
      <w:r>
        <w:t xml:space="preserve">Forquet</w:t>
      </w:r>
    </w:p>
    <w:p>
      <w:pPr>
        <w:pStyle w:val="Author"/>
      </w:pPr>
      <w:r>
        <w:t xml:space="preserve">Pascal</w:t>
      </w:r>
      <w:r>
        <w:t xml:space="preserve"> </w:t>
      </w:r>
      <w:r>
        <w:t xml:space="preserve">Molle</w:t>
      </w:r>
    </w:p>
    <w:p>
      <w:pPr>
        <w:pStyle w:val="Author"/>
      </w:pPr>
      <w:r>
        <w:t xml:space="preserve">Karine</w:t>
      </w:r>
      <w:r>
        <w:t xml:space="preserve"> </w:t>
      </w:r>
      <w:r>
        <w:t xml:space="preserve">Dufossé</w:t>
      </w:r>
    </w:p>
    <w:p>
      <w:pPr>
        <w:pStyle w:val="Date"/>
      </w:pPr>
      <w:r>
        <w:t xml:space="preserve">Last</w:t>
      </w:r>
      <w:r>
        <w:t xml:space="preserve"> </w:t>
      </w:r>
      <w:r>
        <w:t xml:space="preserve">modified</w:t>
      </w:r>
      <w:r>
        <w:t xml:space="preserve"> </w:t>
      </w:r>
      <w:r>
        <w:t xml:space="preserve">September,</w:t>
      </w:r>
      <w:r>
        <w:t xml:space="preserve"> </w:t>
      </w:r>
      <w:r>
        <w:t xml:space="preserve">2024</w:t>
      </w:r>
    </w:p>
    <w:p>
      <w:pPr>
        <w:pStyle w:val="FirstParagraph"/>
      </w:pPr>
      <w:r>
        <w:t xml:space="preserve">This notebook describes the phosphorous mass balance estimation for French Vertical Flow (VF) wetlands. It is based on the first LCA inventory carried out by Risch</w:t>
      </w:r>
      <w:r>
        <w:t xml:space="preserve"> </w:t>
      </w:r>
      <w:r>
        <w:rPr>
          <w:i/>
          <w:iCs/>
        </w:rPr>
        <w:t xml:space="preserve">et al.</w:t>
      </w:r>
      <w:r>
        <w:t xml:space="preserve"> </w:t>
      </w:r>
      <w:r>
        <w:t xml:space="preserve">(2010)</w:t>
      </w:r>
      <w:r>
        <w:t xml:space="preserve">. This updated version aims to take better account of experimental data. In particular, it focuses on data collected from a large number of full-scale French VF wetlands.</w:t>
      </w:r>
    </w:p>
    <w:p>
      <w:pPr>
        <w:pStyle w:val="BodyText"/>
      </w:pPr>
      <w:r>
        <w:t xml:space="preserve">The mass balance is expressed in</w:t>
      </w:r>
      <w:r>
        <w:t xml:space="preserve"> </w:t>
      </w:r>
      <m:oMath>
        <m:r>
          <m:t>g</m:t>
        </m:r>
        <m:r>
          <m:t> </m:t>
        </m:r>
        <m:r>
          <m:t>P</m:t>
        </m:r>
        <m:r>
          <m:rPr>
            <m:sty m:val="p"/>
          </m:rPr>
          <m:t>⋅</m:t>
        </m:r>
        <m:r>
          <m:t>p</m:t>
        </m:r>
        <m:sSup>
          <m:e>
            <m:r>
              <m:t>e</m:t>
            </m:r>
          </m:e>
          <m:sup>
            <m:r>
              <m:rPr>
                <m:sty m:val="p"/>
              </m:rPr>
              <m:t>−</m:t>
            </m:r>
            <m:r>
              <m:t>1</m:t>
            </m:r>
          </m:sup>
        </m:sSup>
        <m:sSup>
          <m:e>
            <m:r>
              <m:t>d</m:t>
            </m:r>
          </m:e>
          <m:sup>
            <m:r>
              <m:rPr>
                <m:sty m:val="p"/>
              </m:rPr>
              <m:t>−</m:t>
            </m:r>
            <m:r>
              <m:t>1</m:t>
            </m:r>
          </m:sup>
        </m:sSup>
      </m:oMath>
      <w:r>
        <w:t xml:space="preserve">.</w:t>
      </w:r>
    </w:p>
    <w:bookmarkStart w:id="21" w:name="influent"/>
    <w:p>
      <w:pPr>
        <w:pStyle w:val="Heading2"/>
      </w:pPr>
      <w:r>
        <w:t xml:space="preserve">Influent</w:t>
      </w:r>
    </w:p>
    <w:p>
      <w:pPr>
        <w:pStyle w:val="FirstParagraph"/>
      </w:pPr>
      <w:r>
        <w:t xml:space="preserve">Mercoiret</w:t>
      </w:r>
      <w:r>
        <w:t xml:space="preserve"> </w:t>
      </w:r>
      <w:r>
        <w:rPr>
          <w:i/>
          <w:iCs/>
        </w:rPr>
        <w:t xml:space="preserve">et al.</w:t>
      </w:r>
      <w:r>
        <w:t xml:space="preserve"> </w:t>
      </w:r>
      <w:r>
        <w:t xml:space="preserve">(2009)</w:t>
      </w:r>
      <w:r>
        <w:t xml:space="preserve"> </w:t>
      </w:r>
      <w:r>
        <w:t xml:space="preserve">estimated the incoming COD flux to 2.1</w:t>
      </w:r>
      <w:r>
        <w:t xml:space="preserve"> </w:t>
      </w:r>
      <m:oMath>
        <m:r>
          <m:t>g</m:t>
        </m:r>
        <m:r>
          <m:t>P</m:t>
        </m:r>
        <m:r>
          <m:rPr>
            <m:sty m:val="p"/>
          </m:rPr>
          <m:t>⋅</m:t>
        </m:r>
        <m:sSup>
          <m:e>
            <m:r>
              <m:t>d</m:t>
            </m:r>
          </m:e>
          <m:sup>
            <m:r>
              <m:rPr>
                <m:sty m:val="p"/>
              </m:rPr>
              <m:t>−</m:t>
            </m:r>
            <m:r>
              <m:t>1</m:t>
            </m:r>
          </m:sup>
        </m:sSup>
        <m:r>
          <m:rPr>
            <m:sty m:val="p"/>
          </m:rPr>
          <m:t>⋅</m:t>
        </m:r>
        <m:r>
          <m:t>P</m:t>
        </m:r>
        <m:sSup>
          <m:e>
            <m:r>
              <m:t>E</m:t>
            </m:r>
          </m:e>
          <m:sup>
            <m:r>
              <m:rPr>
                <m:sty m:val="p"/>
              </m:rPr>
              <m:t>−</m:t>
            </m:r>
            <m:r>
              <m:t>1</m:t>
            </m:r>
          </m:sup>
        </m:sSup>
      </m:oMath>
      <w:r>
        <w:t xml:space="preserve">.</w:t>
      </w:r>
    </w:p>
    <w:p>
      <w:pPr>
        <w:pStyle w:val="BodyText"/>
      </w:pPr>
      <w:bookmarkStart w:id="20" w:name="eq-incoming_N"/>
      <m:oMathPara>
        <m:oMathParaPr>
          <m:jc m:val="center"/>
        </m:oMathParaPr>
        <m:oMath>
          <m:sSubSup>
            <m:e>
              <m:r>
                <m:t>F</m:t>
              </m:r>
            </m:e>
            <m:sub>
              <m:r>
                <m:t>P</m:t>
              </m:r>
            </m:sub>
            <m:sup>
              <m:r>
                <m:t>i</m:t>
              </m:r>
              <m:r>
                <m:t>n</m:t>
              </m:r>
              <m:r>
                <m:t>l</m:t>
              </m:r>
              <m:r>
                <m:t>e</m:t>
              </m:r>
              <m:r>
                <m:t>t</m:t>
              </m:r>
            </m:sup>
          </m:sSubSup>
          <m:r>
            <m:rPr>
              <m:sty m:val="p"/>
            </m:rPr>
            <m:t>=</m:t>
          </m:r>
          <m:r>
            <m:t>2.1</m:t>
          </m:r>
          <m:r>
            <m:t> </m:t>
          </m:r>
          <m:d>
            <m:dPr>
              <m:begChr m:val="["/>
              <m:endChr m:val="]"/>
              <m:sepChr m:val=""/>
              <m:grow/>
            </m:dPr>
            <m:e>
              <m:r>
                <m:t>g</m:t>
              </m:r>
              <m:r>
                <m:rPr>
                  <m:sty m:val="p"/>
                </m:rPr>
                <m:t>⋅</m:t>
              </m:r>
              <m:sSup>
                <m:e>
                  <m:r>
                    <m:t>d</m:t>
                  </m:r>
                </m:e>
                <m:sup>
                  <m:r>
                    <m:rPr>
                      <m:sty m:val="p"/>
                    </m:rPr>
                    <m:t>−</m:t>
                  </m:r>
                  <m:r>
                    <m:t>1</m:t>
                  </m:r>
                </m:sup>
              </m:sSup>
              <m:r>
                <m:rPr>
                  <m:sty m:val="p"/>
                </m:rPr>
                <m:t>⋅</m:t>
              </m:r>
              <m:r>
                <m:t>p</m:t>
              </m:r>
              <m:sSup>
                <m:e>
                  <m:r>
                    <m:t>e</m:t>
                  </m:r>
                </m:e>
                <m:sup>
                  <m:r>
                    <m:rPr>
                      <m:sty m:val="p"/>
                    </m:rPr>
                    <m:t>−</m:t>
                  </m:r>
                  <m:r>
                    <m:t>1</m:t>
                  </m:r>
                </m:sup>
              </m:sSup>
            </m:e>
          </m:d>
          <m:r>
            <m:t>  </m:t>
          </m:r>
          <m:d>
            <m:dPr>
              <m:begChr m:val="("/>
              <m:endChr m:val=")"/>
              <m:sepChr m:val=""/>
              <m:grow/>
            </m:dPr>
            <m:e>
              <m:r>
                <m:t>1</m:t>
              </m:r>
            </m:e>
          </m:d>
        </m:oMath>
      </m:oMathPara>
      <w:bookmarkEnd w:id="20"/>
    </w:p>
    <w:p>
      <w:pPr>
        <w:pStyle w:val="SourceCode"/>
      </w:pPr>
      <w:r>
        <w:rPr>
          <w:rStyle w:val="NormalTok"/>
        </w:rPr>
        <w:t xml:space="preserve">P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inlet =</w:t>
      </w:r>
      <w:r>
        <w:rPr>
          <w:rStyle w:val="NormalTok"/>
        </w:rPr>
        <w:t xml:space="preserve"> </w:t>
      </w:r>
      <w:r>
        <w:rPr>
          <w:rStyle w:val="FunctionTok"/>
        </w:rPr>
        <w:t xml:space="preserve">list</w:t>
      </w:r>
      <w:r>
        <w:rPr>
          <w:rStyle w:val="NormalTok"/>
        </w:rPr>
        <w:t xml:space="preserve">(</w:t>
      </w:r>
      <w:r>
        <w:rPr>
          <w:rStyle w:val="AttributeTok"/>
        </w:rPr>
        <w:t xml:space="preserve">total =</w:t>
      </w:r>
      <w:r>
        <w:rPr>
          <w:rStyle w:val="NormalTok"/>
        </w:rPr>
        <w:t xml:space="preserve"> </w:t>
      </w:r>
      <w:r>
        <w:rPr>
          <w:rStyle w:val="FunctionTok"/>
        </w:rPr>
        <w:t xml:space="preserve">set_units</w:t>
      </w:r>
      <w:r>
        <w:rPr>
          <w:rStyle w:val="NormalTok"/>
        </w:rPr>
        <w:t xml:space="preserve">(</w:t>
      </w:r>
      <w:r>
        <w:rPr>
          <w:rStyle w:val="FloatTok"/>
        </w:rPr>
        <w:t xml:space="preserve">2.1</w:t>
      </w:r>
      <w:r>
        <w:rPr>
          <w:rStyle w:val="NormalTok"/>
        </w:rPr>
        <w:t xml:space="preserve">, g</w:t>
      </w:r>
      <w:r>
        <w:rPr>
          <w:rStyle w:val="SpecialCharTok"/>
        </w:rPr>
        <w:t xml:space="preserve">/</w:t>
      </w:r>
      <w:r>
        <w:rPr>
          <w:rStyle w:val="NormalTok"/>
        </w:rPr>
        <w:t xml:space="preserve">d</w:t>
      </w:r>
      <w:r>
        <w:rPr>
          <w:rStyle w:val="SpecialCharTok"/>
        </w:rPr>
        <w:t xml:space="preserve">/</w:t>
      </w:r>
      <w:r>
        <w:rPr>
          <w:rStyle w:val="NormalTok"/>
        </w:rPr>
        <w:t xml:space="preserve">pe)))</w:t>
      </w:r>
    </w:p>
    <w:p>
      <w:pPr>
        <w:pStyle w:val="FirstParagraph"/>
      </w:pPr>
      <w:r>
        <w:t xml:space="preserve">This production is divided into 75% in the form of</w:t>
      </w:r>
      <w:r>
        <w:t xml:space="preserve"> </w:t>
      </w:r>
      <m:oMath>
        <m:r>
          <m:t>P</m:t>
        </m:r>
        <m:r>
          <m:rPr>
            <m:sty m:val="p"/>
          </m:rPr>
          <m:t>−</m:t>
        </m:r>
        <m:r>
          <m:t>P</m:t>
        </m:r>
        <m:sSub>
          <m:e>
            <m:r>
              <m:t>O</m:t>
            </m:r>
          </m:e>
          <m:sub>
            <m:r>
              <m:t>4</m:t>
            </m:r>
          </m:sub>
        </m:sSub>
      </m:oMath>
      <w:r>
        <w:t xml:space="preserve"> </w:t>
      </w:r>
      <w:r>
        <w:t xml:space="preserve">(1.575 g/d/PE) and 0.525 in organic form.</w:t>
      </w:r>
    </w:p>
    <w:p>
      <w:pPr>
        <w:pStyle w:val="SourceCode"/>
      </w:pPr>
      <w:r>
        <w:rPr>
          <w:rStyle w:val="NormalTok"/>
        </w:rPr>
        <w:t xml:space="preserve">bilan.P[</w:t>
      </w:r>
      <w:r>
        <w:rPr>
          <w:rStyle w:val="StringTok"/>
        </w:rPr>
        <w:t xml:space="preserve">"water - PO4-P"</w:t>
      </w:r>
      <w:r>
        <w:rPr>
          <w:rStyle w:val="NormalTok"/>
        </w:rPr>
        <w:t xml:space="preserve">,</w:t>
      </w:r>
      <w:r>
        <w:rPr>
          <w:rStyle w:val="StringTok"/>
        </w:rPr>
        <w:t xml:space="preserve">"inlet"</w:t>
      </w:r>
      <w:r>
        <w:rPr>
          <w:rStyle w:val="NormalTok"/>
        </w:rPr>
        <w:t xml:space="preserv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1.575</w:t>
      </w:r>
      <w:r>
        <w:rPr>
          <w:rStyle w:val="NormalTok"/>
        </w:rPr>
        <w:t xml:space="preserve">, g</w:t>
      </w:r>
      <w:r>
        <w:rPr>
          <w:rStyle w:val="SpecialCharTok"/>
        </w:rPr>
        <w:t xml:space="preserve">/</w:t>
      </w:r>
      <w:r>
        <w:rPr>
          <w:rStyle w:val="NormalTok"/>
        </w:rPr>
        <w:t xml:space="preserve">d</w:t>
      </w:r>
      <w:r>
        <w:rPr>
          <w:rStyle w:val="SpecialCharTok"/>
        </w:rPr>
        <w:t xml:space="preserve">/</w:t>
      </w:r>
      <w:r>
        <w:rPr>
          <w:rStyle w:val="NormalTok"/>
        </w:rPr>
        <w:t xml:space="preserve">pe)</w:t>
      </w:r>
      <w:r>
        <w:br/>
      </w:r>
      <w:r>
        <w:rPr>
          <w:rStyle w:val="NormalTok"/>
        </w:rPr>
        <w:t xml:space="preserve">bilan.P[</w:t>
      </w:r>
      <w:r>
        <w:rPr>
          <w:rStyle w:val="StringTok"/>
        </w:rPr>
        <w:t xml:space="preserve">"water - Porg"</w:t>
      </w:r>
      <w:r>
        <w:rPr>
          <w:rStyle w:val="NormalTok"/>
        </w:rPr>
        <w:t xml:space="preserve">,</w:t>
      </w:r>
      <w:r>
        <w:rPr>
          <w:rStyle w:val="StringTok"/>
        </w:rPr>
        <w:t xml:space="preserve">"inlet"</w:t>
      </w:r>
      <w:r>
        <w:rPr>
          <w:rStyle w:val="NormalTok"/>
        </w:rPr>
        <w:t xml:space="preserv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0.525</w:t>
      </w:r>
      <w:r>
        <w:rPr>
          <w:rStyle w:val="NormalTok"/>
        </w:rPr>
        <w:t xml:space="preserve">, g</w:t>
      </w:r>
      <w:r>
        <w:rPr>
          <w:rStyle w:val="SpecialCharTok"/>
        </w:rPr>
        <w:t xml:space="preserve">/</w:t>
      </w:r>
      <w:r>
        <w:rPr>
          <w:rStyle w:val="NormalTok"/>
        </w:rPr>
        <w:t xml:space="preserve">d</w:t>
      </w:r>
      <w:r>
        <w:rPr>
          <w:rStyle w:val="SpecialCharTok"/>
        </w:rPr>
        <w:t xml:space="preserve">/</w:t>
      </w:r>
      <w:r>
        <w:rPr>
          <w:rStyle w:val="NormalTok"/>
        </w:rPr>
        <w:t xml:space="preserve">pe)</w:t>
      </w:r>
    </w:p>
    <w:bookmarkEnd w:id="21"/>
    <w:bookmarkStart w:id="22" w:name="treatment-wetland"/>
    <w:p>
      <w:pPr>
        <w:pStyle w:val="Heading2"/>
      </w:pPr>
      <w:r>
        <w:t xml:space="preserve">Treatment wetland</w:t>
      </w:r>
    </w:p>
    <w:p>
      <w:pPr>
        <w:pStyle w:val="FirstParagraph"/>
      </w:pPr>
      <w:r>
        <w:t xml:space="preserve">For phosphorous, we do not make distincition between the first and second treatment stage. Phosphorous organic forms are assumed to be completely removed by filtration. However part of the phosphorous leaches out after the mineralization of the organic matter.</w:t>
      </w:r>
    </w:p>
    <w:p>
      <w:pPr>
        <w:pStyle w:val="BodyText"/>
      </w:pPr>
      <w:r>
        <w:t xml:space="preserve">Based on the PlanteDefi database, the overall phosphorous removal efficiency is estimated to 20% and the outlet concentration mainly consists of</w:t>
      </w:r>
      <w:r>
        <w:t xml:space="preserve"> </w:t>
      </w:r>
      <m:oMath>
        <m:r>
          <m:t>P</m:t>
        </m:r>
        <m:r>
          <m:rPr>
            <m:sty m:val="p"/>
          </m:rPr>
          <m:t>−</m:t>
        </m:r>
        <m:r>
          <m:t>P</m:t>
        </m:r>
        <m:sSub>
          <m:e>
            <m:r>
              <m:t>O</m:t>
            </m:r>
          </m:e>
          <m:sub>
            <m:r>
              <m:t>4</m:t>
            </m:r>
          </m:sub>
        </m:sSub>
      </m:oMath>
      <w:r>
        <w:t xml:space="preserve">.</w:t>
      </w:r>
    </w:p>
    <w:p>
      <w:pPr>
        <w:pStyle w:val="SourceCode"/>
      </w:pPr>
      <w:r>
        <w:rPr>
          <w:rStyle w:val="NormalTok"/>
        </w:rPr>
        <w:t xml:space="preserve">bilan.P[</w:t>
      </w:r>
      <w:r>
        <w:rPr>
          <w:rStyle w:val="StringTok"/>
        </w:rPr>
        <w:t xml:space="preserve">"water - PO4-P"</w:t>
      </w:r>
      <w:r>
        <w:rPr>
          <w:rStyle w:val="NormalTok"/>
        </w:rPr>
        <w:t xml:space="preserve">,</w:t>
      </w:r>
      <w:r>
        <w:rPr>
          <w:rStyle w:val="StringTok"/>
        </w:rPr>
        <w:t xml:space="preserve">"outlet"</w:t>
      </w:r>
      <w:r>
        <w:rPr>
          <w:rStyle w:val="NormalTok"/>
        </w:rPr>
        <w:t xml:space="preserve">] </w:t>
      </w:r>
      <w:r>
        <w:rPr>
          <w:rStyle w:val="OtherTok"/>
        </w:rPr>
        <w:t xml:space="preserve">&lt;-</w:t>
      </w:r>
      <w:r>
        <w:rPr>
          <w:rStyle w:val="NormalTok"/>
        </w:rPr>
        <w:t xml:space="preserve"> (</w:t>
      </w:r>
      <w:r>
        <w:rPr>
          <w:rStyle w:val="DecValTok"/>
        </w:rPr>
        <w:t xml:space="preserve">1</w:t>
      </w:r>
      <w:r>
        <w:rPr>
          <w:rStyle w:val="FloatTok"/>
        </w:rPr>
        <w:t xml:space="preserve">-0.20</w:t>
      </w:r>
      <w:r>
        <w:rPr>
          <w:rStyle w:val="NormalTok"/>
        </w:rPr>
        <w:t xml:space="preserve">) </w:t>
      </w:r>
      <w:r>
        <w:rPr>
          <w:rStyle w:val="SpecialCharTok"/>
        </w:rPr>
        <w:t xml:space="preserve">*</w:t>
      </w:r>
      <w:r>
        <w:rPr>
          <w:rStyle w:val="NormalTok"/>
        </w:rPr>
        <w:t xml:space="preserve"> P</w:t>
      </w:r>
      <w:r>
        <w:rPr>
          <w:rStyle w:val="SpecialCharTok"/>
        </w:rPr>
        <w:t xml:space="preserve">$</w:t>
      </w:r>
      <w:r>
        <w:rPr>
          <w:rStyle w:val="NormalTok"/>
        </w:rPr>
        <w:t xml:space="preserve">inlet</w:t>
      </w:r>
      <w:r>
        <w:rPr>
          <w:rStyle w:val="SpecialCharTok"/>
        </w:rPr>
        <w:t xml:space="preserve">$</w:t>
      </w:r>
      <w:r>
        <w:rPr>
          <w:rStyle w:val="NormalTok"/>
        </w:rPr>
        <w:t xml:space="preserve">total</w:t>
      </w:r>
    </w:p>
    <w:p>
      <w:pPr>
        <w:pStyle w:val="FirstParagraph"/>
      </w:pPr>
      <w:r>
        <w:t xml:space="preserve">The difference between the</w:t>
      </w:r>
      <w:r>
        <w:t xml:space="preserve"> </w:t>
      </w:r>
      <m:oMath>
        <m:r>
          <m:t>P</m:t>
        </m:r>
        <m:sSub>
          <m:e>
            <m:r>
              <m:t>O</m:t>
            </m:r>
          </m:e>
          <m:sub>
            <m:r>
              <m:t>4</m:t>
            </m:r>
          </m:sub>
        </m:sSub>
        <m:r>
          <m:rPr>
            <m:sty m:val="p"/>
          </m:rPr>
          <m:t>−</m:t>
        </m:r>
        <m:r>
          <m:t>P</m:t>
        </m:r>
      </m:oMath>
      <w:r>
        <w:t xml:space="preserve"> </w:t>
      </w:r>
      <w:r>
        <w:t xml:space="preserve">inlet and outlet concentrations is assumed to be leached phosphorous.</w:t>
      </w:r>
    </w:p>
    <w:p>
      <w:pPr>
        <w:pStyle w:val="SourceCode"/>
      </w:pPr>
      <w:r>
        <w:rPr>
          <w:rStyle w:val="NormalTok"/>
        </w:rPr>
        <w:t xml:space="preserve">leached.phosphorous </w:t>
      </w:r>
      <w:r>
        <w:rPr>
          <w:rStyle w:val="OtherTok"/>
        </w:rPr>
        <w:t xml:space="preserve">&lt;-</w:t>
      </w:r>
      <w:r>
        <w:rPr>
          <w:rStyle w:val="NormalTok"/>
        </w:rPr>
        <w:t xml:space="preserve"> bilan.P[</w:t>
      </w:r>
      <w:r>
        <w:rPr>
          <w:rStyle w:val="StringTok"/>
        </w:rPr>
        <w:t xml:space="preserve">"water - PO4-P"</w:t>
      </w:r>
      <w:r>
        <w:rPr>
          <w:rStyle w:val="NormalTok"/>
        </w:rPr>
        <w:t xml:space="preserve">,</w:t>
      </w:r>
      <w:r>
        <w:rPr>
          <w:rStyle w:val="StringTok"/>
        </w:rPr>
        <w:t xml:space="preserve">"outlet"</w:t>
      </w:r>
      <w:r>
        <w:rPr>
          <w:rStyle w:val="NormalTok"/>
        </w:rPr>
        <w:t xml:space="preserve">] </w:t>
      </w:r>
      <w:r>
        <w:rPr>
          <w:rStyle w:val="SpecialCharTok"/>
        </w:rPr>
        <w:t xml:space="preserve">-</w:t>
      </w:r>
      <w:r>
        <w:rPr>
          <w:rStyle w:val="NormalTok"/>
        </w:rPr>
        <w:t xml:space="preserve"> bilan.P[</w:t>
      </w:r>
      <w:r>
        <w:rPr>
          <w:rStyle w:val="StringTok"/>
        </w:rPr>
        <w:t xml:space="preserve">"water - PO4-P"</w:t>
      </w:r>
      <w:r>
        <w:rPr>
          <w:rStyle w:val="NormalTok"/>
        </w:rPr>
        <w:t xml:space="preserve">,</w:t>
      </w:r>
      <w:r>
        <w:rPr>
          <w:rStyle w:val="StringTok"/>
        </w:rPr>
        <w:t xml:space="preserve">"inlet"</w:t>
      </w:r>
      <w:r>
        <w:rPr>
          <w:rStyle w:val="NormalTok"/>
        </w:rPr>
        <w:t xml:space="preserve">]</w:t>
      </w:r>
    </w:p>
    <w:p>
      <w:pPr>
        <w:pStyle w:val="FirstParagraph"/>
      </w:pPr>
      <w:r>
        <w:t xml:space="preserve">The rest of the P-org is either stored in the biosolids or exported by the reeds.</w:t>
      </w:r>
    </w:p>
    <w:p>
      <w:pPr>
        <w:pStyle w:val="SourceCode"/>
      </w:pPr>
      <w:r>
        <w:rPr>
          <w:rStyle w:val="NormalTok"/>
        </w:rPr>
        <w:t xml:space="preserve">P.stored </w:t>
      </w:r>
      <w:r>
        <w:rPr>
          <w:rStyle w:val="OtherTok"/>
        </w:rPr>
        <w:t xml:space="preserve">&lt;-</w:t>
      </w:r>
      <w:r>
        <w:rPr>
          <w:rStyle w:val="NormalTok"/>
        </w:rPr>
        <w:t xml:space="preserve"> bilan.P[</w:t>
      </w:r>
      <w:r>
        <w:rPr>
          <w:rStyle w:val="StringTok"/>
        </w:rPr>
        <w:t xml:space="preserve">"water - Porg"</w:t>
      </w:r>
      <w:r>
        <w:rPr>
          <w:rStyle w:val="NormalTok"/>
        </w:rPr>
        <w:t xml:space="preserve">,</w:t>
      </w:r>
      <w:r>
        <w:rPr>
          <w:rStyle w:val="StringTok"/>
        </w:rPr>
        <w:t xml:space="preserve">"inlet"</w:t>
      </w:r>
      <w:r>
        <w:rPr>
          <w:rStyle w:val="NormalTok"/>
        </w:rPr>
        <w:t xml:space="preserve">] </w:t>
      </w:r>
      <w:r>
        <w:rPr>
          <w:rStyle w:val="SpecialCharTok"/>
        </w:rPr>
        <w:t xml:space="preserve">-</w:t>
      </w:r>
      <w:r>
        <w:rPr>
          <w:rStyle w:val="NormalTok"/>
        </w:rPr>
        <w:t xml:space="preserve"> leached.phosphorous</w:t>
      </w:r>
    </w:p>
    <w:p>
      <w:pPr>
        <w:pStyle w:val="FirstParagraph"/>
      </w:pPr>
      <w:r>
        <w:t xml:space="preserve">According to Tanner</w:t>
      </w:r>
      <w:r>
        <w:t xml:space="preserve"> </w:t>
      </w:r>
      <w:r>
        <w:rPr>
          <w:i/>
          <w:iCs/>
        </w:rPr>
        <w:t xml:space="preserve">et al.</w:t>
      </w:r>
      <w:r>
        <w:t xml:space="preserve"> </w:t>
      </w:r>
      <w:r>
        <w:t xml:space="preserve">(1996)</w:t>
      </w:r>
      <w:r>
        <w:t xml:space="preserve">, the above ground above ground biomass production is 5 g/m²/yr and the below ground production is 6 g/m²/yr. It is assumed that the below-ground biomass will mineralize over time and is therefore neglected.</w:t>
      </w:r>
    </w:p>
    <w:p>
      <w:pPr>
        <w:pStyle w:val="BodyText"/>
      </w:pPr>
      <w:r>
        <w:t xml:space="preserve">The above part is exported by mowing.</w:t>
      </w:r>
    </w:p>
    <w:p>
      <w:pPr>
        <w:pStyle w:val="SourceCode"/>
      </w:pPr>
      <w:r>
        <w:rPr>
          <w:rStyle w:val="NormalTok"/>
        </w:rPr>
        <w:t xml:space="preserve">bilan.P[</w:t>
      </w:r>
      <w:r>
        <w:rPr>
          <w:rStyle w:val="StringTok"/>
        </w:rPr>
        <w:t xml:space="preserve">"solid - reed"</w:t>
      </w:r>
      <w:r>
        <w:rPr>
          <w:rStyle w:val="NormalTok"/>
        </w:rPr>
        <w:t xml:space="preserve">,</w:t>
      </w:r>
      <w:r>
        <w:rPr>
          <w:rStyle w:val="StringTok"/>
        </w:rPr>
        <w:t xml:space="preserve">"stored"</w:t>
      </w:r>
      <w:r>
        <w:rPr>
          <w:rStyle w:val="NormalTok"/>
        </w:rPr>
        <w:t xml:space="preserv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5</w:t>
      </w:r>
      <w:r>
        <w:rPr>
          <w:rStyle w:val="NormalTok"/>
        </w:rPr>
        <w:t xml:space="preserve">, g</w:t>
      </w:r>
      <w:r>
        <w:rPr>
          <w:rStyle w:val="SpecialCharTok"/>
        </w:rPr>
        <w:t xml:space="preserve">/</w:t>
      </w:r>
      <w:r>
        <w:rPr>
          <w:rStyle w:val="NormalTok"/>
        </w:rPr>
        <w:t xml:space="preserve">m</w:t>
      </w:r>
      <w:r>
        <w:rPr>
          <w:rStyle w:val="SpecialCharTok"/>
        </w:rPr>
        <w:t xml:space="preserve">^</w:t>
      </w:r>
      <w:r>
        <w:rPr>
          <w:rStyle w:val="DecValTok"/>
        </w:rPr>
        <w:t xml:space="preserve">2</w:t>
      </w:r>
      <w:r>
        <w:rPr>
          <w:rStyle w:val="SpecialCharTok"/>
        </w:rPr>
        <w:t xml:space="preserve">/</w:t>
      </w:r>
      <w:r>
        <w:rPr>
          <w:rStyle w:val="NormalTok"/>
        </w:rPr>
        <w:t xml:space="preserve">yr) </w:t>
      </w:r>
      <w:r>
        <w:rPr>
          <w:rStyle w:val="SpecialCharTok"/>
        </w:rPr>
        <w:t xml:space="preserve">*</w:t>
      </w:r>
      <w:r>
        <w:rPr>
          <w:rStyle w:val="NormalTok"/>
        </w:rPr>
        <w:t xml:space="preserve"> </w:t>
      </w:r>
      <w:r>
        <w:rPr>
          <w:rStyle w:val="FunctionTok"/>
        </w:rPr>
        <w:t xml:space="preserve">set_units</w:t>
      </w:r>
      <w:r>
        <w:rPr>
          <w:rStyle w:val="NormalTok"/>
        </w:rPr>
        <w:t xml:space="preserve">(</w:t>
      </w:r>
      <w:r>
        <w:rPr>
          <w:rStyle w:val="FloatTok"/>
        </w:rPr>
        <w:t xml:space="preserve">1.35</w:t>
      </w:r>
      <w:r>
        <w:rPr>
          <w:rStyle w:val="NormalTok"/>
        </w:rPr>
        <w:t xml:space="preserve">, m</w:t>
      </w:r>
      <w:r>
        <w:rPr>
          <w:rStyle w:val="SpecialCharTok"/>
        </w:rPr>
        <w:t xml:space="preserve">^</w:t>
      </w:r>
      <w:r>
        <w:rPr>
          <w:rStyle w:val="DecValTok"/>
        </w:rPr>
        <w:t xml:space="preserve">2</w:t>
      </w:r>
      <w:r>
        <w:rPr>
          <w:rStyle w:val="SpecialCharTok"/>
        </w:rPr>
        <w:t xml:space="preserve">/</w:t>
      </w:r>
      <w:r>
        <w:rPr>
          <w:rStyle w:val="NormalTok"/>
        </w:rPr>
        <w:t xml:space="preserve">pe) </w:t>
      </w:r>
      <w:r>
        <w:rPr>
          <w:rStyle w:val="SpecialCharTok"/>
        </w:rPr>
        <w:t xml:space="preserve">+</w:t>
      </w:r>
      <w:r>
        <w:rPr>
          <w:rStyle w:val="NormalTok"/>
        </w:rPr>
        <w:t xml:space="preserve"> </w:t>
      </w:r>
      <w:r>
        <w:rPr>
          <w:rStyle w:val="FunctionTok"/>
        </w:rPr>
        <w:t xml:space="preserve">set_units</w:t>
      </w:r>
      <w:r>
        <w:rPr>
          <w:rStyle w:val="NormalTok"/>
        </w:rPr>
        <w:t xml:space="preserve">(</w:t>
      </w:r>
      <w:r>
        <w:rPr>
          <w:rStyle w:val="DecValTok"/>
        </w:rPr>
        <w:t xml:space="preserve">5</w:t>
      </w:r>
      <w:r>
        <w:rPr>
          <w:rStyle w:val="NormalTok"/>
        </w:rPr>
        <w:t xml:space="preserve">, g</w:t>
      </w:r>
      <w:r>
        <w:rPr>
          <w:rStyle w:val="SpecialCharTok"/>
        </w:rPr>
        <w:t xml:space="preserve">/</w:t>
      </w:r>
      <w:r>
        <w:rPr>
          <w:rStyle w:val="NormalTok"/>
        </w:rPr>
        <w:t xml:space="preserve">m</w:t>
      </w:r>
      <w:r>
        <w:rPr>
          <w:rStyle w:val="SpecialCharTok"/>
        </w:rPr>
        <w:t xml:space="preserve">^</w:t>
      </w:r>
      <w:r>
        <w:rPr>
          <w:rStyle w:val="DecValTok"/>
        </w:rPr>
        <w:t xml:space="preserve">2</w:t>
      </w:r>
      <w:r>
        <w:rPr>
          <w:rStyle w:val="SpecialCharTok"/>
        </w:rPr>
        <w:t xml:space="preserve">/</w:t>
      </w:r>
      <w:r>
        <w:rPr>
          <w:rStyle w:val="NormalTok"/>
        </w:rPr>
        <w:t xml:space="preserve">yr) </w:t>
      </w:r>
      <w:r>
        <w:rPr>
          <w:rStyle w:val="SpecialCharTok"/>
        </w:rPr>
        <w:t xml:space="preserve">*</w:t>
      </w:r>
      <w:r>
        <w:rPr>
          <w:rStyle w:val="NormalTok"/>
        </w:rPr>
        <w:t xml:space="preserve"> </w:t>
      </w:r>
      <w:r>
        <w:rPr>
          <w:rStyle w:val="FunctionTok"/>
        </w:rPr>
        <w:t xml:space="preserve">set_units</w:t>
      </w:r>
      <w:r>
        <w:rPr>
          <w:rStyle w:val="NormalTok"/>
        </w:rPr>
        <w:t xml:space="preserve">(</w:t>
      </w:r>
      <w:r>
        <w:rPr>
          <w:rStyle w:val="FloatTok"/>
        </w:rPr>
        <w:t xml:space="preserve">0.9</w:t>
      </w:r>
      <w:r>
        <w:rPr>
          <w:rStyle w:val="NormalTok"/>
        </w:rPr>
        <w:t xml:space="preserve">, m</w:t>
      </w:r>
      <w:r>
        <w:rPr>
          <w:rStyle w:val="SpecialCharTok"/>
        </w:rPr>
        <w:t xml:space="preserve">^</w:t>
      </w:r>
      <w:r>
        <w:rPr>
          <w:rStyle w:val="DecValTok"/>
        </w:rPr>
        <w:t xml:space="preserve">2</w:t>
      </w:r>
      <w:r>
        <w:rPr>
          <w:rStyle w:val="SpecialCharTok"/>
        </w:rPr>
        <w:t xml:space="preserve">/</w:t>
      </w:r>
      <w:r>
        <w:rPr>
          <w:rStyle w:val="NormalTok"/>
        </w:rPr>
        <w:t xml:space="preserve">pe)</w:t>
      </w:r>
    </w:p>
    <w:p>
      <w:pPr>
        <w:pStyle w:val="FirstParagraph"/>
      </w:pPr>
      <w:r>
        <w:t xml:space="preserve">Consequently, the rest of the P-org is stored in the biosolids.</w:t>
      </w:r>
    </w:p>
    <w:p>
      <w:pPr>
        <w:pStyle w:val="SourceCode"/>
      </w:pPr>
      <w:r>
        <w:rPr>
          <w:rStyle w:val="NormalTok"/>
        </w:rPr>
        <w:t xml:space="preserve">bilan.P[</w:t>
      </w:r>
      <w:r>
        <w:rPr>
          <w:rStyle w:val="StringTok"/>
        </w:rPr>
        <w:t xml:space="preserve">"solid - biosolids"</w:t>
      </w:r>
      <w:r>
        <w:rPr>
          <w:rStyle w:val="NormalTok"/>
        </w:rPr>
        <w:t xml:space="preserve">,</w:t>
      </w:r>
      <w:r>
        <w:rPr>
          <w:rStyle w:val="StringTok"/>
        </w:rPr>
        <w:t xml:space="preserve">"stored"</w:t>
      </w:r>
      <w:r>
        <w:rPr>
          <w:rStyle w:val="NormalTok"/>
        </w:rPr>
        <w:t xml:space="preserve">] </w:t>
      </w:r>
      <w:r>
        <w:rPr>
          <w:rStyle w:val="OtherTok"/>
        </w:rPr>
        <w:t xml:space="preserve">&lt;-</w:t>
      </w:r>
      <w:r>
        <w:rPr>
          <w:rStyle w:val="NormalTok"/>
        </w:rPr>
        <w:t xml:space="preserve"> P.stored </w:t>
      </w:r>
      <w:r>
        <w:rPr>
          <w:rStyle w:val="SpecialCharTok"/>
        </w:rPr>
        <w:t xml:space="preserve">-</w:t>
      </w:r>
      <w:r>
        <w:rPr>
          <w:rStyle w:val="NormalTok"/>
        </w:rPr>
        <w:t xml:space="preserve"> bilan.P[</w:t>
      </w:r>
      <w:r>
        <w:rPr>
          <w:rStyle w:val="StringTok"/>
        </w:rPr>
        <w:t xml:space="preserve">"solid - reed"</w:t>
      </w:r>
      <w:r>
        <w:rPr>
          <w:rStyle w:val="NormalTok"/>
        </w:rPr>
        <w:t xml:space="preserve">,</w:t>
      </w:r>
      <w:r>
        <w:rPr>
          <w:rStyle w:val="StringTok"/>
        </w:rPr>
        <w:t xml:space="preserve">"stored"</w:t>
      </w:r>
      <w:r>
        <w:rPr>
          <w:rStyle w:val="NormalTok"/>
        </w:rPr>
        <w:t xml:space="preserve">]</w:t>
      </w:r>
    </w:p>
    <w:bookmarkEnd w:id="22"/>
    <w:bookmarkStart w:id="23" w:name="X987de14ff78ac64fefcf7952d158c3b62b50804"/>
    <w:p>
      <w:pPr>
        <w:pStyle w:val="Heading2"/>
      </w:pPr>
      <w:r>
        <w:t xml:space="preserve">Estimation of the phosphorous stored in the biosolids</w:t>
      </w:r>
    </w:p>
    <w:p>
      <w:pPr>
        <w:pStyle w:val="FirstParagraph"/>
      </w:pPr>
      <w:r>
        <w:t xml:space="preserve">Instead of estimating the phosphorous stored in the biosolids by difference, we can estimate it by considering the quantity of phosphorous that can actually be stored in the surface deposit. This can be done using measurements carried out by Molle</w:t>
      </w:r>
      <w:r>
        <w:t xml:space="preserve"> </w:t>
      </w:r>
      <w:r>
        <w:t xml:space="preserve">(2003)</w:t>
      </w:r>
      <w:r>
        <w:t xml:space="preserve">. The quantity of phosphorous stored in the surface deposit represent a significant fraction of the phosphorous stored in the biosolids but not its totality as some biosolids are entrapped within the porous media of the first and second treatment stage.</w:t>
      </w:r>
    </w:p>
    <w:p>
      <w:pPr>
        <w:pStyle w:val="BodyText"/>
      </w:pPr>
      <w:r>
        <w:t xml:space="preserve">Molle</w:t>
      </w:r>
      <w:r>
        <w:t xml:space="preserve"> </w:t>
      </w:r>
      <w:r>
        <w:t xml:space="preserve">(</w:t>
      </w:r>
      <w:r>
        <w:rPr>
          <w:b/>
          <w:bCs/>
        </w:rPr>
        <w:t xml:space="preserve">Molle2003?</w:t>
      </w:r>
      <w:r>
        <w:t xml:space="preserve">)</w:t>
      </w:r>
      <w:r>
        <w:t xml:space="preserve"> </w:t>
      </w:r>
      <w:r>
        <w:t xml:space="preserve">measured the</w:t>
      </w:r>
      <w:r>
        <w:t xml:space="preserve"> </w:t>
      </w:r>
      <m:oMath>
        <m:sSub>
          <m:e>
            <m:r>
              <m:t>P</m:t>
            </m:r>
          </m:e>
          <m:sub>
            <m:r>
              <m:t>2</m:t>
            </m:r>
          </m:sub>
        </m:sSub>
        <m:sSub>
          <m:e>
            <m:r>
              <m:t>O</m:t>
            </m:r>
          </m:e>
          <m:sub>
            <m:r>
              <m:t>5</m:t>
            </m:r>
          </m:sub>
        </m:sSub>
      </m:oMath>
      <w:r>
        <w:t xml:space="preserve"> </w:t>
      </w:r>
      <w:r>
        <w:t xml:space="preserve">concentration in the surface deposit (biosolids) to 1.46% of the dry matter. Considering the deposit accumulation rate of 2.5 cm/y</w:t>
      </w:r>
      <w:r>
        <w:t xml:space="preserve"> </w:t>
      </w:r>
      <w:r>
        <w:t xml:space="preserve">(Molle, 2014)</w:t>
      </w:r>
      <w:r>
        <w:t xml:space="preserve"> </w:t>
      </w:r>
      <w:r>
        <w:t xml:space="preserve">and the biosolid density of 300 $kg/m^{3}</w:t>
      </w:r>
      <w:r>
        <w:t xml:space="preserve"> </w:t>
      </w:r>
      <w:r>
        <w:t xml:space="preserve">(Vincent, 2011)</w:t>
      </w:r>
      <w:r>
        <w:t xml:space="preserve">, the mass of P2O5 accumulating in the biosolids can be estimated:</w:t>
      </w:r>
    </w:p>
    <w:p>
      <w:pPr>
        <w:pStyle w:val="SourceCode"/>
      </w:pPr>
      <w:r>
        <w:rPr>
          <w:rStyle w:val="NormalTok"/>
        </w:rPr>
        <w:t xml:space="preserve">  P2O5.biosolids </w:t>
      </w:r>
      <w:r>
        <w:rPr>
          <w:rStyle w:val="OtherTok"/>
        </w:rPr>
        <w:t xml:space="preserve">&lt;-</w:t>
      </w:r>
      <w:r>
        <w:rPr>
          <w:rStyle w:val="NormalTok"/>
        </w:rPr>
        <w:t xml:space="preserve"> </w:t>
      </w:r>
      <w:r>
        <w:rPr>
          <w:rStyle w:val="FloatTok"/>
        </w:rPr>
        <w:t xml:space="preserve">0.0146</w:t>
      </w:r>
      <w:r>
        <w:br/>
      </w:r>
      <w:r>
        <w:rPr>
          <w:rStyle w:val="NormalTok"/>
        </w:rPr>
        <w:t xml:space="preserve">  biomass.density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300</w:t>
      </w:r>
      <w:r>
        <w:rPr>
          <w:rStyle w:val="NormalTok"/>
        </w:rPr>
        <w:t xml:space="preserve">, kg</w:t>
      </w:r>
      <w:r>
        <w:rPr>
          <w:rStyle w:val="SpecialCharTok"/>
        </w:rPr>
        <w:t xml:space="preserve">/</w:t>
      </w:r>
      <w:r>
        <w:rPr>
          <w:rStyle w:val="NormalTok"/>
        </w:rPr>
        <w:t xml:space="preserve">m</w:t>
      </w:r>
      <w:r>
        <w:rPr>
          <w:rStyle w:val="SpecialCharTok"/>
        </w:rPr>
        <w:t xml:space="preserve">^</w:t>
      </w:r>
      <w:r>
        <w:rPr>
          <w:rStyle w:val="DecValTok"/>
        </w:rPr>
        <w:t xml:space="preserve">3</w:t>
      </w:r>
      <w:r>
        <w:rPr>
          <w:rStyle w:val="NormalTok"/>
        </w:rPr>
        <w:t xml:space="preserve">)</w:t>
      </w:r>
      <w:r>
        <w:br/>
      </w:r>
      <w:r>
        <w:rPr>
          <w:rStyle w:val="NormalTok"/>
        </w:rPr>
        <w:t xml:space="preserve">  biosolids.growth.rate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2.5</w:t>
      </w:r>
      <w:r>
        <w:rPr>
          <w:rStyle w:val="SpecialCharTok"/>
        </w:rPr>
        <w:t xml:space="preserve">/</w:t>
      </w:r>
      <w:r>
        <w:rPr>
          <w:rStyle w:val="FloatTok"/>
        </w:rPr>
        <w:t xml:space="preserve">365.5</w:t>
      </w:r>
      <w:r>
        <w:rPr>
          <w:rStyle w:val="NormalTok"/>
        </w:rPr>
        <w:t xml:space="preserve">, cm</w:t>
      </w:r>
      <w:r>
        <w:rPr>
          <w:rStyle w:val="SpecialCharTok"/>
        </w:rPr>
        <w:t xml:space="preserve">/</w:t>
      </w:r>
      <w:r>
        <w:rPr>
          <w:rStyle w:val="NormalTok"/>
        </w:rPr>
        <w:t xml:space="preserve">d)</w:t>
      </w:r>
      <w:r>
        <w:br/>
      </w:r>
      <w:r>
        <w:rPr>
          <w:rStyle w:val="NormalTok"/>
        </w:rPr>
        <w:t xml:space="preserve">  surface</w:t>
      </w:r>
      <w:r>
        <w:rPr>
          <w:rStyle w:val="FloatTok"/>
        </w:rPr>
        <w:t xml:space="preserve">.1</w:t>
      </w:r>
      <w:r>
        <w:rPr>
          <w:rStyle w:val="NormalTok"/>
        </w:rPr>
        <w:t xml:space="preserve">st.stage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1.35</w:t>
      </w:r>
      <w:r>
        <w:rPr>
          <w:rStyle w:val="NormalTok"/>
        </w:rPr>
        <w:t xml:space="preserve">, m</w:t>
      </w:r>
      <w:r>
        <w:rPr>
          <w:rStyle w:val="SpecialCharTok"/>
        </w:rPr>
        <w:t xml:space="preserve">^</w:t>
      </w:r>
      <w:r>
        <w:rPr>
          <w:rStyle w:val="DecValTok"/>
        </w:rPr>
        <w:t xml:space="preserve">2</w:t>
      </w:r>
      <w:r>
        <w:rPr>
          <w:rStyle w:val="SpecialCharTok"/>
        </w:rPr>
        <w:t xml:space="preserve">/</w:t>
      </w:r>
      <w:r>
        <w:rPr>
          <w:rStyle w:val="NormalTok"/>
        </w:rPr>
        <w:t xml:space="preserve">pe)</w:t>
      </w:r>
      <w:r>
        <w:br/>
      </w:r>
      <w:r>
        <w:rPr>
          <w:rStyle w:val="NormalTok"/>
        </w:rPr>
        <w:t xml:space="preserve">  </w:t>
      </w:r>
      <w:r>
        <w:br/>
      </w:r>
      <w:r>
        <w:rPr>
          <w:rStyle w:val="NormalTok"/>
        </w:rPr>
        <w:t xml:space="preserve">  P2O5.accumulated </w:t>
      </w:r>
      <w:r>
        <w:rPr>
          <w:rStyle w:val="OtherTok"/>
        </w:rPr>
        <w:t xml:space="preserve">&lt;-</w:t>
      </w:r>
      <w:r>
        <w:rPr>
          <w:rStyle w:val="NormalTok"/>
        </w:rPr>
        <w:t xml:space="preserve"> P2O5.biosolids </w:t>
      </w:r>
      <w:r>
        <w:rPr>
          <w:rStyle w:val="SpecialCharTok"/>
        </w:rPr>
        <w:t xml:space="preserve">*</w:t>
      </w:r>
      <w:r>
        <w:rPr>
          <w:rStyle w:val="NormalTok"/>
        </w:rPr>
        <w:t xml:space="preserve"> biomass.density </w:t>
      </w:r>
      <w:r>
        <w:rPr>
          <w:rStyle w:val="SpecialCharTok"/>
        </w:rPr>
        <w:t xml:space="preserve">*</w:t>
      </w:r>
      <w:r>
        <w:rPr>
          <w:rStyle w:val="NormalTok"/>
        </w:rPr>
        <w:t xml:space="preserve"> biosolids.growth.rate </w:t>
      </w:r>
      <w:r>
        <w:rPr>
          <w:rStyle w:val="SpecialCharTok"/>
        </w:rPr>
        <w:t xml:space="preserve">*</w:t>
      </w:r>
      <w:r>
        <w:rPr>
          <w:rStyle w:val="NormalTok"/>
        </w:rPr>
        <w:t xml:space="preserve"> surface</w:t>
      </w:r>
      <w:r>
        <w:rPr>
          <w:rStyle w:val="FloatTok"/>
        </w:rPr>
        <w:t xml:space="preserve">.1</w:t>
      </w:r>
      <w:r>
        <w:rPr>
          <w:rStyle w:val="NormalTok"/>
        </w:rPr>
        <w:t xml:space="preserve">st.stage</w:t>
      </w:r>
      <w:r>
        <w:br/>
      </w:r>
      <w:r>
        <w:rPr>
          <w:rStyle w:val="NormalTok"/>
        </w:rPr>
        <w:t xml:space="preserve">  </w:t>
      </w:r>
      <w:r>
        <w:rPr>
          <w:rStyle w:val="FunctionTok"/>
        </w:rPr>
        <w:t xml:space="preserve">set_units</w:t>
      </w:r>
      <w:r>
        <w:rPr>
          <w:rStyle w:val="NormalTok"/>
        </w:rPr>
        <w:t xml:space="preserve">(P2O5.accumulated, g</w:t>
      </w:r>
      <w:r>
        <w:rPr>
          <w:rStyle w:val="SpecialCharTok"/>
        </w:rPr>
        <w:t xml:space="preserve">/</w:t>
      </w:r>
      <w:r>
        <w:rPr>
          <w:rStyle w:val="NormalTok"/>
        </w:rPr>
        <w:t xml:space="preserve">d</w:t>
      </w:r>
      <w:r>
        <w:rPr>
          <w:rStyle w:val="SpecialCharTok"/>
        </w:rPr>
        <w:t xml:space="preserve">/</w:t>
      </w:r>
      <w:r>
        <w:rPr>
          <w:rStyle w:val="NormalTok"/>
        </w:rPr>
        <w:t xml:space="preserve">pe)</w:t>
      </w:r>
    </w:p>
    <w:p>
      <w:pPr>
        <w:pStyle w:val="SourceCode"/>
      </w:pPr>
      <w:r>
        <w:rPr>
          <w:rStyle w:val="VerbatimChar"/>
        </w:rPr>
        <w:t xml:space="preserve">0.404446 [g/d/pe]</w:t>
      </w:r>
    </w:p>
    <w:p>
      <w:pPr>
        <w:pStyle w:val="FirstParagraph"/>
      </w:pPr>
      <w:r>
        <w:t xml:space="preserve">Using the stocheometry of P2O5, we can convert this value to P:</w:t>
      </w:r>
    </w:p>
    <w:p>
      <w:pPr>
        <w:pStyle w:val="SourceCode"/>
      </w:pPr>
      <w:r>
        <w:rPr>
          <w:rStyle w:val="NormalTok"/>
        </w:rPr>
        <w:t xml:space="preserve">  P.surface.deposit </w:t>
      </w:r>
      <w:r>
        <w:rPr>
          <w:rStyle w:val="OtherTok"/>
        </w:rPr>
        <w:t xml:space="preserve">&lt;-</w:t>
      </w:r>
      <w:r>
        <w:rPr>
          <w:rStyle w:val="NormalTok"/>
        </w:rPr>
        <w:t xml:space="preserve"> P2O5.accumulated </w:t>
      </w:r>
      <w:r>
        <w:rPr>
          <w:rStyle w:val="SpecialCharTok"/>
        </w:rPr>
        <w:t xml:space="preserve">*</w:t>
      </w:r>
      <w:r>
        <w:rPr>
          <w:rStyle w:val="NormalTok"/>
        </w:rPr>
        <w:t xml:space="preserve"> </w:t>
      </w:r>
      <w:r>
        <w:rPr>
          <w:rStyle w:val="FloatTok"/>
        </w:rPr>
        <w:t xml:space="preserve">0.436</w:t>
      </w:r>
    </w:p>
    <w:p>
      <w:pPr>
        <w:pStyle w:val="FirstParagraph"/>
      </w:pPr>
      <w:r>
        <w:t xml:space="preserve">Thsi value is within the range of magnitude of the P stored in the biosolids.</w:t>
      </w:r>
    </w:p>
    <w:bookmarkEnd w:id="23"/>
    <w:bookmarkStart w:id="38" w:name="summary"/>
    <w:p>
      <w:pPr>
        <w:pStyle w:val="Heading2"/>
      </w:pPr>
      <w:r>
        <w:t xml:space="preserve">Summary</w:t>
      </w:r>
    </w:p>
    <w:p>
      <w:pPr>
        <w:pStyle w:val="SourceCode"/>
      </w:pPr>
      <w:r>
        <w:rPr>
          <w:rStyle w:val="FunctionTok"/>
        </w:rPr>
        <w:t xml:space="preserve">kable</w:t>
      </w:r>
      <w:r>
        <w:rPr>
          <w:rStyle w:val="NormalTok"/>
        </w:rPr>
        <w:t xml:space="preserve">(bilan.P)</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right"/>
            </w:pPr>
            <w:r>
              <w:t xml:space="preserve">inlet</w:t>
            </w:r>
          </w:p>
        </w:tc>
        <w:tc>
          <w:tcPr/>
          <w:p>
            <w:pPr>
              <w:pStyle w:val="Compact"/>
              <w:jc w:val="right"/>
            </w:pPr>
            <w:r>
              <w:t xml:space="preserve">stored</w:t>
            </w:r>
          </w:p>
        </w:tc>
        <w:tc>
          <w:tcPr/>
          <w:p>
            <w:pPr>
              <w:pStyle w:val="Compact"/>
              <w:jc w:val="right"/>
            </w:pPr>
            <w:r>
              <w:t xml:space="preserve">outlet</w:t>
            </w:r>
          </w:p>
        </w:tc>
      </w:tr>
      <w:tr>
        <w:tc>
          <w:tcPr/>
          <w:p>
            <w:pPr>
              <w:pStyle w:val="Compact"/>
              <w:jc w:val="left"/>
            </w:pPr>
            <w:r>
              <w:t xml:space="preserve">water - Porg</w:t>
            </w:r>
          </w:p>
        </w:tc>
        <w:tc>
          <w:tcPr/>
          <w:p>
            <w:pPr>
              <w:pStyle w:val="Compact"/>
              <w:jc w:val="right"/>
            </w:pPr>
            <w:r>
              <w:t xml:space="preserve">0.525 [g/d/pe]</w:t>
            </w:r>
          </w:p>
        </w:tc>
        <w:tc>
          <w:tcPr/>
          <w:p>
            <w:pPr>
              <w:pStyle w:val="Compact"/>
              <w:jc w:val="right"/>
            </w:pPr>
            <w:r>
              <w:t xml:space="preserve">0.00000000 [g/d/pe]</w:t>
            </w:r>
          </w:p>
        </w:tc>
        <w:tc>
          <w:tcPr/>
          <w:p>
            <w:pPr>
              <w:pStyle w:val="Compact"/>
              <w:jc w:val="right"/>
            </w:pPr>
            <w:r>
              <w:t xml:space="preserve">0.00 [g/d/pe]</w:t>
            </w:r>
          </w:p>
        </w:tc>
      </w:tr>
      <w:tr>
        <w:tc>
          <w:tcPr/>
          <w:p>
            <w:pPr>
              <w:pStyle w:val="Compact"/>
              <w:jc w:val="left"/>
            </w:pPr>
            <w:r>
              <w:t xml:space="preserve">water - PO4-P</w:t>
            </w:r>
          </w:p>
        </w:tc>
        <w:tc>
          <w:tcPr/>
          <w:p>
            <w:pPr>
              <w:pStyle w:val="Compact"/>
              <w:jc w:val="right"/>
            </w:pPr>
            <w:r>
              <w:t xml:space="preserve">1.575 [g/d/pe]</w:t>
            </w:r>
          </w:p>
        </w:tc>
        <w:tc>
          <w:tcPr/>
          <w:p>
            <w:pPr>
              <w:pStyle w:val="Compact"/>
              <w:jc w:val="right"/>
            </w:pPr>
            <w:r>
              <w:t xml:space="preserve">0.00000000 [g/d/pe]</w:t>
            </w:r>
          </w:p>
        </w:tc>
        <w:tc>
          <w:tcPr/>
          <w:p>
            <w:pPr>
              <w:pStyle w:val="Compact"/>
              <w:jc w:val="right"/>
            </w:pPr>
            <w:r>
              <w:t xml:space="preserve">1.68 [g/d/pe]</w:t>
            </w:r>
          </w:p>
        </w:tc>
      </w:tr>
      <w:tr>
        <w:tc>
          <w:tcPr/>
          <w:p>
            <w:pPr>
              <w:pStyle w:val="Compact"/>
              <w:jc w:val="left"/>
            </w:pPr>
            <w:r>
              <w:t xml:space="preserve">solid - biosolids</w:t>
            </w:r>
          </w:p>
        </w:tc>
        <w:tc>
          <w:tcPr/>
          <w:p>
            <w:pPr>
              <w:pStyle w:val="Compact"/>
              <w:jc w:val="right"/>
            </w:pPr>
            <w:r>
              <w:t xml:space="preserve">0.000 [g/d/pe]</w:t>
            </w:r>
          </w:p>
        </w:tc>
        <w:tc>
          <w:tcPr/>
          <w:p>
            <w:pPr>
              <w:pStyle w:val="Compact"/>
              <w:jc w:val="right"/>
            </w:pPr>
            <w:r>
              <w:t xml:space="preserve">0.38919852 [g/d/pe]</w:t>
            </w:r>
          </w:p>
        </w:tc>
        <w:tc>
          <w:tcPr/>
          <w:p>
            <w:pPr>
              <w:pStyle w:val="Compact"/>
              <w:jc w:val="right"/>
            </w:pPr>
            <w:r>
              <w:t xml:space="preserve">0.00 [g/d/pe]</w:t>
            </w:r>
          </w:p>
        </w:tc>
      </w:tr>
      <w:tr>
        <w:tc>
          <w:tcPr/>
          <w:p>
            <w:pPr>
              <w:pStyle w:val="Compact"/>
              <w:jc w:val="left"/>
            </w:pPr>
            <w:r>
              <w:t xml:space="preserve">solid - reed</w:t>
            </w:r>
          </w:p>
        </w:tc>
        <w:tc>
          <w:tcPr/>
          <w:p>
            <w:pPr>
              <w:pStyle w:val="Compact"/>
              <w:jc w:val="right"/>
            </w:pPr>
            <w:r>
              <w:t xml:space="preserve">0.000 [g/d/pe]</w:t>
            </w:r>
          </w:p>
        </w:tc>
        <w:tc>
          <w:tcPr/>
          <w:p>
            <w:pPr>
              <w:pStyle w:val="Compact"/>
              <w:jc w:val="right"/>
            </w:pPr>
            <w:r>
              <w:t xml:space="preserve">0.03080148 [g/d/pe]</w:t>
            </w:r>
          </w:p>
        </w:tc>
        <w:tc>
          <w:tcPr/>
          <w:p>
            <w:pPr>
              <w:pStyle w:val="Compact"/>
              <w:jc w:val="right"/>
            </w:pPr>
            <w:r>
              <w:t xml:space="preserve">0.00 [g/d/pe]</w:t>
            </w:r>
          </w:p>
        </w:tc>
      </w:tr>
    </w:tbl>
    <w:p>
      <w:pPr>
        <w:pStyle w:val="BodyText"/>
      </w:pPr>
      <w:r>
        <w:t xml:space="preserve">Results can also be presented using a Sankey plot:</w:t>
      </w:r>
    </w:p>
    <w:p>
      <w:pPr>
        <w:pStyle w:val="SourceCode"/>
      </w:pPr>
      <w:r>
        <w:rPr>
          <w:rStyle w:val="NormalTok"/>
        </w:rPr>
        <w:t xml:space="preserve">Inputs </w:t>
      </w:r>
      <w:r>
        <w:rPr>
          <w:rStyle w:val="OtherTok"/>
        </w:rPr>
        <w:t xml:space="preserve">&lt;-</w:t>
      </w:r>
      <w:r>
        <w:rPr>
          <w:rStyle w:val="NormalTok"/>
        </w:rPr>
        <w:t xml:space="preserve"> </w:t>
      </w:r>
      <w:r>
        <w:rPr>
          <w:rStyle w:val="FunctionTok"/>
        </w:rPr>
        <w:t xml:space="preserve">as.numeric</w:t>
      </w:r>
      <w:r>
        <w:rPr>
          <w:rStyle w:val="NormalTok"/>
        </w:rPr>
        <w:t xml:space="preserve">(</w:t>
      </w:r>
      <w:r>
        <w:rPr>
          <w:rStyle w:val="FunctionTok"/>
        </w:rPr>
        <w:t xml:space="preserve">c</w:t>
      </w:r>
      <w:r>
        <w:rPr>
          <w:rStyle w:val="NormalTok"/>
        </w:rPr>
        <w:t xml:space="preserve">(bilan.P</w:t>
      </w:r>
      <w:r>
        <w:rPr>
          <w:rStyle w:val="SpecialCharTok"/>
        </w:rPr>
        <w:t xml:space="preserve">$</w:t>
      </w:r>
      <w:r>
        <w:rPr>
          <w:rStyle w:val="NormalTok"/>
        </w:rPr>
        <w:t xml:space="preserve">inlet[</w:t>
      </w:r>
      <w:r>
        <w:rPr>
          <w:rStyle w:val="DecValTok"/>
        </w:rPr>
        <w:t xml:space="preserve">1</w:t>
      </w:r>
      <w:r>
        <w:rPr>
          <w:rStyle w:val="NormalTok"/>
        </w:rPr>
        <w:t xml:space="preserve">], bilan.P</w:t>
      </w:r>
      <w:r>
        <w:rPr>
          <w:rStyle w:val="SpecialCharTok"/>
        </w:rPr>
        <w:t xml:space="preserve">$</w:t>
      </w:r>
      <w:r>
        <w:rPr>
          <w:rStyle w:val="NormalTok"/>
        </w:rPr>
        <w:t xml:space="preserve">inlet[</w:t>
      </w:r>
      <w:r>
        <w:rPr>
          <w:rStyle w:val="DecValTok"/>
        </w:rPr>
        <w:t xml:space="preserve">2</w:t>
      </w:r>
      <w:r>
        <w:rPr>
          <w:rStyle w:val="NormalTok"/>
        </w:rPr>
        <w:t xml:space="preserve">]))</w:t>
      </w:r>
      <w:r>
        <w:br/>
      </w:r>
      <w:r>
        <w:rPr>
          <w:rStyle w:val="NormalTok"/>
        </w:rPr>
        <w:t xml:space="preserve">Inputs </w:t>
      </w:r>
      <w:r>
        <w:rPr>
          <w:rStyle w:val="OtherTok"/>
        </w:rPr>
        <w:t xml:space="preserve">&lt;-</w:t>
      </w:r>
      <w:r>
        <w:rPr>
          <w:rStyle w:val="NormalTok"/>
        </w:rPr>
        <w:t xml:space="preserve"> </w:t>
      </w:r>
      <w:r>
        <w:rPr>
          <w:rStyle w:val="FunctionTok"/>
        </w:rPr>
        <w:t xml:space="preserve">round</w:t>
      </w:r>
      <w:r>
        <w:rPr>
          <w:rStyle w:val="NormalTok"/>
        </w:rPr>
        <w:t xml:space="preserve">(Inputs,</w:t>
      </w:r>
      <w:r>
        <w:rPr>
          <w:rStyle w:val="DecValTok"/>
        </w:rPr>
        <w:t xml:space="preserve">2</w:t>
      </w:r>
      <w:r>
        <w:rPr>
          <w:rStyle w:val="NormalTok"/>
        </w:rPr>
        <w:t xml:space="preserve">)</w:t>
      </w:r>
      <w:r>
        <w:br/>
      </w:r>
      <w:r>
        <w:br/>
      </w:r>
      <w:r>
        <w:rPr>
          <w:rStyle w:val="NormalTok"/>
        </w:rPr>
        <w:t xml:space="preserve">Losses </w:t>
      </w:r>
      <w:r>
        <w:rPr>
          <w:rStyle w:val="OtherTok"/>
        </w:rPr>
        <w:t xml:space="preserve">&lt;-</w:t>
      </w:r>
      <w:r>
        <w:rPr>
          <w:rStyle w:val="NormalTok"/>
        </w:rPr>
        <w:t xml:space="preserve"> </w:t>
      </w:r>
      <w:r>
        <w:rPr>
          <w:rStyle w:val="FunctionTok"/>
        </w:rPr>
        <w:t xml:space="preserve">as.numeric</w:t>
      </w:r>
      <w:r>
        <w:rPr>
          <w:rStyle w:val="NormalTok"/>
        </w:rPr>
        <w:t xml:space="preserve">(</w:t>
      </w:r>
      <w:r>
        <w:rPr>
          <w:rStyle w:val="FunctionTok"/>
        </w:rPr>
        <w:t xml:space="preserve">c</w:t>
      </w:r>
      <w:r>
        <w:rPr>
          <w:rStyle w:val="NormalTok"/>
        </w:rPr>
        <w:t xml:space="preserve">(</w:t>
      </w:r>
      <w:r>
        <w:br/>
      </w:r>
      <w:r>
        <w:rPr>
          <w:rStyle w:val="NormalTok"/>
        </w:rPr>
        <w:t xml:space="preserve">  bilan.P</w:t>
      </w:r>
      <w:r>
        <w:rPr>
          <w:rStyle w:val="SpecialCharTok"/>
        </w:rPr>
        <w:t xml:space="preserve">$</w:t>
      </w:r>
      <w:r>
        <w:rPr>
          <w:rStyle w:val="NormalTok"/>
        </w:rPr>
        <w:t xml:space="preserve">outlet[</w:t>
      </w:r>
      <w:r>
        <w:rPr>
          <w:rStyle w:val="DecValTok"/>
        </w:rPr>
        <w:t xml:space="preserve">2</w:t>
      </w:r>
      <w:r>
        <w:rPr>
          <w:rStyle w:val="NormalTok"/>
        </w:rPr>
        <w:t xml:space="preserve">],</w:t>
      </w:r>
      <w:r>
        <w:br/>
      </w:r>
      <w:r>
        <w:rPr>
          <w:rStyle w:val="NormalTok"/>
        </w:rPr>
        <w:t xml:space="preserve">  bilan.P</w:t>
      </w:r>
      <w:r>
        <w:rPr>
          <w:rStyle w:val="SpecialCharTok"/>
        </w:rPr>
        <w:t xml:space="preserve">$</w:t>
      </w:r>
      <w:r>
        <w:rPr>
          <w:rStyle w:val="NormalTok"/>
        </w:rPr>
        <w:t xml:space="preserve">stored[</w:t>
      </w:r>
      <w:r>
        <w:rPr>
          <w:rStyle w:val="DecValTok"/>
        </w:rPr>
        <w:t xml:space="preserve">3</w:t>
      </w:r>
      <w:r>
        <w:rPr>
          <w:rStyle w:val="NormalTok"/>
        </w:rPr>
        <w:t xml:space="preserve">],</w:t>
      </w:r>
      <w:r>
        <w:br/>
      </w:r>
      <w:r>
        <w:rPr>
          <w:rStyle w:val="NormalTok"/>
        </w:rPr>
        <w:t xml:space="preserve">  bilan.P</w:t>
      </w:r>
      <w:r>
        <w:rPr>
          <w:rStyle w:val="SpecialCharTok"/>
        </w:rPr>
        <w:t xml:space="preserve">$</w:t>
      </w:r>
      <w:r>
        <w:rPr>
          <w:rStyle w:val="NormalTok"/>
        </w:rPr>
        <w:t xml:space="preserve">stored[</w:t>
      </w:r>
      <w:r>
        <w:rPr>
          <w:rStyle w:val="DecValTok"/>
        </w:rPr>
        <w:t xml:space="preserve">4</w:t>
      </w:r>
      <w:r>
        <w:rPr>
          <w:rStyle w:val="NormalTok"/>
        </w:rPr>
        <w:t xml:space="preserve">]</w:t>
      </w:r>
      <w:r>
        <w:br/>
      </w:r>
      <w:r>
        <w:rPr>
          <w:rStyle w:val="NormalTok"/>
        </w:rPr>
        <w:t xml:space="preserve">))</w:t>
      </w:r>
      <w:r>
        <w:br/>
      </w:r>
      <w:r>
        <w:rPr>
          <w:rStyle w:val="NormalTok"/>
        </w:rPr>
        <w:t xml:space="preserve">Losses </w:t>
      </w:r>
      <w:r>
        <w:rPr>
          <w:rStyle w:val="OtherTok"/>
        </w:rPr>
        <w:t xml:space="preserve">&lt;-</w:t>
      </w:r>
      <w:r>
        <w:rPr>
          <w:rStyle w:val="NormalTok"/>
        </w:rPr>
        <w:t xml:space="preserve"> </w:t>
      </w:r>
      <w:r>
        <w:rPr>
          <w:rStyle w:val="FunctionTok"/>
        </w:rPr>
        <w:t xml:space="preserve">round</w:t>
      </w:r>
      <w:r>
        <w:rPr>
          <w:rStyle w:val="NormalTok"/>
        </w:rPr>
        <w:t xml:space="preserve">(Losses,</w:t>
      </w:r>
      <w:r>
        <w:rPr>
          <w:rStyle w:val="DecValTok"/>
        </w:rPr>
        <w:t xml:space="preserve">2</w:t>
      </w:r>
      <w:r>
        <w:rPr>
          <w:rStyle w:val="NormalTok"/>
        </w:rPr>
        <w:t xml:space="preserve">)</w:t>
      </w:r>
      <w:r>
        <w:br/>
      </w:r>
      <w:r>
        <w:rPr>
          <w:rStyle w:val="NormalTok"/>
        </w:rPr>
        <w:t xml:space="preserve">Labels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"PO4-P"</w:t>
      </w:r>
      <w:r>
        <w:rPr>
          <w:rStyle w:val="NormalTok"/>
        </w:rPr>
        <w:t xml:space="preserve">, </w:t>
      </w:r>
      <w:r>
        <w:rPr>
          <w:rStyle w:val="StringTok"/>
        </w:rPr>
        <w:t xml:space="preserve">"Porg"</w:t>
      </w:r>
      <w:r>
        <w:rPr>
          <w:rStyle w:val="NormalTok"/>
        </w:rPr>
        <w:t xml:space="preserve">, </w:t>
      </w:r>
      <w:r>
        <w:rPr>
          <w:rStyle w:val="StringTok"/>
        </w:rPr>
        <w:t xml:space="preserve">"PO4-P"</w:t>
      </w:r>
      <w:r>
        <w:rPr>
          <w:rStyle w:val="NormalTok"/>
        </w:rPr>
        <w:t xml:space="preserve">, </w:t>
      </w:r>
      <w:r>
        <w:rPr>
          <w:rStyle w:val="StringTok"/>
        </w:rPr>
        <w:t xml:space="preserve">"biosolids"</w:t>
      </w:r>
      <w:r>
        <w:rPr>
          <w:rStyle w:val="NormalTok"/>
        </w:rPr>
        <w:t xml:space="preserve">, </w:t>
      </w:r>
      <w:r>
        <w:rPr>
          <w:rStyle w:val="StringTok"/>
        </w:rPr>
        <w:t xml:space="preserve">"reeds"</w:t>
      </w:r>
      <w:r>
        <w:rPr>
          <w:rStyle w:val="NormalTok"/>
        </w:rPr>
        <w:t xml:space="preserve">)</w:t>
      </w:r>
      <w:r>
        <w:br/>
      </w:r>
      <w:r>
        <w:rPr>
          <w:rStyle w:val="FunctionTok"/>
        </w:rPr>
        <w:t xml:space="preserve">SankeyR</w:t>
      </w:r>
      <w:r>
        <w:rPr>
          <w:rStyle w:val="NormalTok"/>
        </w:rPr>
        <w:t xml:space="preserve">(</w:t>
      </w:r>
      <w:r>
        <w:rPr>
          <w:rStyle w:val="AttributeTok"/>
        </w:rPr>
        <w:t xml:space="preserve">inputs =</w:t>
      </w:r>
      <w:r>
        <w:rPr>
          <w:rStyle w:val="NormalTok"/>
        </w:rPr>
        <w:t xml:space="preserve"> Inputs, </w:t>
      </w:r>
      <w:r>
        <w:rPr>
          <w:rStyle w:val="AttributeTok"/>
        </w:rPr>
        <w:t xml:space="preserve">losses =</w:t>
      </w:r>
      <w:r>
        <w:rPr>
          <w:rStyle w:val="NormalTok"/>
        </w:rPr>
        <w:t xml:space="preserve"> Losses, </w:t>
      </w:r>
      <w:r>
        <w:rPr>
          <w:rStyle w:val="AttributeTok"/>
        </w:rPr>
        <w:t xml:space="preserve">unit =</w:t>
      </w:r>
      <w:r>
        <w:rPr>
          <w:rStyle w:val="NormalTok"/>
        </w:rPr>
        <w:t xml:space="preserve"> </w:t>
      </w:r>
      <w:r>
        <w:rPr>
          <w:rStyle w:val="StringTok"/>
        </w:rPr>
        <w:t xml:space="preserve">"g/d/pe"</w:t>
      </w:r>
      <w:r>
        <w:rPr>
          <w:rStyle w:val="NormalTok"/>
        </w:rPr>
        <w:t xml:space="preserve">, </w:t>
      </w:r>
      <w:r>
        <w:rPr>
          <w:rStyle w:val="AttributeTok"/>
        </w:rPr>
        <w:t xml:space="preserve">labels =</w:t>
      </w:r>
      <w:r>
        <w:rPr>
          <w:rStyle w:val="NormalTok"/>
        </w:rPr>
        <w:t xml:space="preserve"> Labels)</w:t>
      </w:r>
    </w:p>
    <w:p>
      <w:pPr>
        <w:pStyle w:val="FirstParagraph"/>
      </w:pPr>
      <w:r>
        <w:drawing>
          <wp:inline>
            <wp:extent cx="4620126" cy="3696101"/>
            <wp:effectExtent b="0" l="0" r="0" t="0"/>
            <wp:docPr descr="" title="" id="25" name="Picture"/>
            <a:graphic>
              <a:graphicData uri="http://schemas.openxmlformats.org/drawingml/2006/picture">
                <pic:pic>
                  <pic:nvPicPr>
                    <pic:cNvPr descr="P_mass_balance_files/figure-docx/unnamed-chunk-10-1.png" id="26"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bookmarkStart w:id="37" w:name="refs"/>
    <w:bookmarkStart w:id="27" w:name="ref-mercoiret2009"/>
    <w:p>
      <w:pPr>
        <w:pStyle w:val="Bibliography"/>
      </w:pPr>
      <w:r>
        <w:t xml:space="preserve">Mercoiret, L., 2009.</w:t>
      </w:r>
      <w:r>
        <w:t xml:space="preserve"> </w:t>
      </w:r>
      <w:r>
        <w:t xml:space="preserve">Qualit</w:t>
      </w:r>
      <w:r>
        <w:t xml:space="preserve">é</w:t>
      </w:r>
      <w:r>
        <w:t xml:space="preserve"> </w:t>
      </w:r>
      <w:r>
        <w:t xml:space="preserve">des eaux us</w:t>
      </w:r>
      <w:r>
        <w:t xml:space="preserve">é</w:t>
      </w:r>
      <w:r>
        <w:t xml:space="preserve">es domestiques produites par les petites collectivit</w:t>
      </w:r>
      <w:r>
        <w:t xml:space="preserve">é</w:t>
      </w:r>
      <w:r>
        <w:t xml:space="preserve">s</w:t>
      </w:r>
      <w:r>
        <w:t xml:space="preserve">. ONEMA.</w:t>
      </w:r>
    </w:p>
    <w:bookmarkEnd w:id="27"/>
    <w:bookmarkStart w:id="29" w:name="ref-molle2014"/>
    <w:p>
      <w:pPr>
        <w:pStyle w:val="Bibliography"/>
      </w:pPr>
      <w:r>
        <w:t xml:space="preserve">Molle, P., 2014. French vertical flow constructed wetlands: a need of a better understanding of the role of the deposit layer. Water Science and Technology 69, 106–112.</w:t>
      </w:r>
      <w:r>
        <w:t xml:space="preserve"> </w:t>
      </w:r>
      <w:hyperlink r:id="rId28">
        <w:r>
          <w:rPr>
            <w:rStyle w:val="Hyperlink"/>
          </w:rPr>
          <w:t xml:space="preserve">https://doi.org/10.2166/wst.2013.561</w:t>
        </w:r>
      </w:hyperlink>
    </w:p>
    <w:bookmarkEnd w:id="29"/>
    <w:bookmarkStart w:id="31" w:name="ref-molle2003"/>
    <w:p>
      <w:pPr>
        <w:pStyle w:val="Bibliography"/>
      </w:pPr>
      <w:r>
        <w:t xml:space="preserve">Molle, P., 2003.</w:t>
      </w:r>
      <w:r>
        <w:t xml:space="preserve"> </w:t>
      </w:r>
      <w:hyperlink r:id="rId30">
        <w:r>
          <w:rPr>
            <w:rStyle w:val="Hyperlink"/>
          </w:rPr>
          <w:t xml:space="preserve">Filtres plantés de roseaux : limites hydrauliques et rétention du phosphore</w:t>
        </w:r>
      </w:hyperlink>
      <w:r>
        <w:t xml:space="preserve"> </w:t>
      </w:r>
      <w:r>
        <w:t xml:space="preserve">(PhD thesis).</w:t>
      </w:r>
    </w:p>
    <w:bookmarkEnd w:id="31"/>
    <w:bookmarkStart w:id="32" w:name="ref-risch2010"/>
    <w:p>
      <w:pPr>
        <w:pStyle w:val="Bibliography"/>
      </w:pPr>
      <w:r>
        <w:t xml:space="preserve">Risch, E., Boutin, C., 2010.</w:t>
      </w:r>
      <w:r>
        <w:t xml:space="preserve"> </w:t>
      </w:r>
      <w:r>
        <w:t xml:space="preserve">Rapports d’ACV et donn</w:t>
      </w:r>
      <w:r>
        <w:t xml:space="preserve">é</w:t>
      </w:r>
      <w:r>
        <w:t xml:space="preserve">es d’inventaire</w:t>
      </w:r>
      <w:r>
        <w:t xml:space="preserve">.</w:t>
      </w:r>
    </w:p>
    <w:bookmarkEnd w:id="32"/>
    <w:bookmarkStart w:id="34" w:name="ref-tanner1996"/>
    <w:p>
      <w:pPr>
        <w:pStyle w:val="Bibliography"/>
      </w:pPr>
      <w:r>
        <w:t xml:space="preserve">Tanner, C.C., 1996. Plants for constructed wetland treatment systems</w:t>
      </w:r>
      <w:r>
        <w:t xml:space="preserve"> </w:t>
      </w:r>
      <w:r>
        <w:t xml:space="preserve"> </w:t>
      </w:r>
      <w:r>
        <w:t xml:space="preserve">A comparison of the growth and nutrient uptake of eight emergent species. Ecological Engineering 7, 59–83.</w:t>
      </w:r>
      <w:r>
        <w:t xml:space="preserve"> </w:t>
      </w:r>
      <w:hyperlink r:id="rId33">
        <w:r>
          <w:rPr>
            <w:rStyle w:val="Hyperlink"/>
          </w:rPr>
          <w:t xml:space="preserve">https://doi.org/10.1016/0925-8574(95)00066-6</w:t>
        </w:r>
      </w:hyperlink>
    </w:p>
    <w:bookmarkEnd w:id="34"/>
    <w:bookmarkStart w:id="36" w:name="ref-vincent2011"/>
    <w:p>
      <w:pPr>
        <w:pStyle w:val="Bibliography"/>
      </w:pPr>
      <w:r>
        <w:t xml:space="preserve">Vincent, J., 2011.</w:t>
      </w:r>
      <w:r>
        <w:t xml:space="preserve"> </w:t>
      </w:r>
      <w:hyperlink r:id="rId35">
        <w:r>
          <w:rPr>
            <w:rStyle w:val="Hyperlink"/>
          </w:rPr>
          <w:t xml:space="preserve">Les lits de séchage de boue plantés de roseaux pour le traitement des boues activées et les matières de vidange : Adapter la stratégie de gestion pour optimiser les performances</w:t>
        </w:r>
      </w:hyperlink>
      <w:r>
        <w:t xml:space="preserve"> </w:t>
      </w:r>
      <w:r>
        <w:t xml:space="preserve">(PhD thesis).</w:t>
      </w:r>
    </w:p>
    <w:bookmarkEnd w:id="36"/>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hyperlink" Id="rId35" Target="http://www.theses.fr/2011MON20179" TargetMode="External" /><Relationship Type="http://schemas.openxmlformats.org/officeDocument/2006/relationships/hyperlink" Id="rId33" Target="https://doi.org/10.1016/0925-8574(95)00066-6" TargetMode="External" /><Relationship Type="http://schemas.openxmlformats.org/officeDocument/2006/relationships/hyperlink" Id="rId28" Target="https://doi.org/10.2166/wst.2013.561" TargetMode="External" /><Relationship Type="http://schemas.openxmlformats.org/officeDocument/2006/relationships/hyperlink" Id="rId30" Target="https://hal.inrae.fr/tel-02583262" TargetMode="External" /></Relationships>
</file>

<file path=word/_rels/footnotes.xml.rels><?xml version="1.0" encoding="UTF-8"?><Relationships xmlns="http://schemas.openxmlformats.org/package/2006/relationships"><Relationship Type="http://schemas.openxmlformats.org/officeDocument/2006/relationships/hyperlink" Id="rId35" Target="http://www.theses.fr/2011MON20179" TargetMode="External" /><Relationship Type="http://schemas.openxmlformats.org/officeDocument/2006/relationships/hyperlink" Id="rId33" Target="https://doi.org/10.1016/0925-8574(95)00066-6" TargetMode="External" /><Relationship Type="http://schemas.openxmlformats.org/officeDocument/2006/relationships/hyperlink" Id="rId28" Target="https://doi.org/10.2166/wst.2013.561" TargetMode="External" /><Relationship Type="http://schemas.openxmlformats.org/officeDocument/2006/relationships/hyperlink" Id="rId30" Target="https://hal.inrae.fr/tel-025832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Phosphorous mass balance of French vertical flow treatment wetlands</dc:title>
  <dc:creator>Nicolas Forquet; Pascal Molle; Karine Dufossé</dc:creator>
  <cp:keywords/>
  <dcterms:created xsi:type="dcterms:W3CDTF">2024-09-16T13:26:27Z</dcterms:created>
  <dcterms:modified xsi:type="dcterms:W3CDTF">2024-09-16T13:26:27Z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references.bib</vt:lpwstr>
  </property>
  <property fmtid="{D5CDD505-2E9C-101B-9397-08002B2CF9AE}" pid="5" name="by-author">
    <vt:lpwstr/>
  </property>
  <property fmtid="{D5CDD505-2E9C-101B-9397-08002B2CF9AE}" pid="6" name="csl">
    <vt:lpwstr>../templates/water-research.csl</vt:lpwstr>
  </property>
  <property fmtid="{D5CDD505-2E9C-101B-9397-08002B2CF9AE}" pid="7" name="date">
    <vt:lpwstr>Last modified September, 2024</vt:lpwstr>
  </property>
  <property fmtid="{D5CDD505-2E9C-101B-9397-08002B2CF9AE}" pid="8" name="date-format">
    <vt:lpwstr>[Last modified] MMMM, YYYY</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