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9DE" w:rsidRPr="00AF4077" w:rsidRDefault="006A39DE" w:rsidP="006A39DE">
      <w:pPr>
        <w:rPr>
          <w:rFonts w:asciiTheme="minorHAnsi" w:hAnsiTheme="minorHAnsi"/>
          <w:sz w:val="20"/>
          <w:szCs w:val="20"/>
        </w:rPr>
      </w:pPr>
      <w:r w:rsidRPr="00AF4077">
        <w:rPr>
          <w:rFonts w:asciiTheme="minorHAnsi" w:hAnsiTheme="minorHAnsi"/>
          <w:b/>
          <w:sz w:val="20"/>
          <w:szCs w:val="20"/>
          <w:u w:val="single"/>
        </w:rPr>
        <w:t>Titre :</w:t>
      </w:r>
      <w:r w:rsidRPr="00AF4077">
        <w:rPr>
          <w:rFonts w:asciiTheme="minorHAnsi" w:hAnsiTheme="minorHAnsi"/>
          <w:sz w:val="20"/>
          <w:szCs w:val="20"/>
        </w:rPr>
        <w:t xml:space="preserve"> </w:t>
      </w:r>
      <w:r w:rsidRPr="00AF4077">
        <w:rPr>
          <w:rFonts w:asciiTheme="minorHAnsi" w:hAnsiTheme="minorHAnsi"/>
          <w:sz w:val="20"/>
          <w:szCs w:val="20"/>
        </w:rPr>
        <w:t xml:space="preserve">Rôle(s) de la protéine </w:t>
      </w:r>
      <w:r w:rsidRPr="00AF4077">
        <w:rPr>
          <w:rFonts w:asciiTheme="minorHAnsi" w:hAnsiTheme="minorHAnsi"/>
          <w:i/>
          <w:sz w:val="20"/>
          <w:szCs w:val="20"/>
        </w:rPr>
        <w:t>O</w:t>
      </w:r>
      <w:r w:rsidRPr="00AF4077">
        <w:rPr>
          <w:rFonts w:asciiTheme="minorHAnsi" w:hAnsiTheme="minorHAnsi"/>
          <w:sz w:val="20"/>
          <w:szCs w:val="20"/>
        </w:rPr>
        <w:t>-</w:t>
      </w:r>
      <w:proofErr w:type="spellStart"/>
      <w:r w:rsidRPr="00AF4077">
        <w:rPr>
          <w:rFonts w:asciiTheme="minorHAnsi" w:hAnsiTheme="minorHAnsi"/>
          <w:sz w:val="20"/>
          <w:szCs w:val="20"/>
        </w:rPr>
        <w:t>fucosyltransférase</w:t>
      </w:r>
      <w:proofErr w:type="spellEnd"/>
      <w:r w:rsidRPr="00AF4077">
        <w:rPr>
          <w:rFonts w:asciiTheme="minorHAnsi" w:hAnsiTheme="minorHAnsi"/>
          <w:sz w:val="20"/>
          <w:szCs w:val="20"/>
        </w:rPr>
        <w:t xml:space="preserve"> 1 au cours de la différenciation myogénique</w:t>
      </w:r>
      <w:r w:rsidRPr="00AF4077">
        <w:rPr>
          <w:rFonts w:asciiTheme="minorHAnsi" w:hAnsiTheme="minorHAnsi"/>
          <w:sz w:val="20"/>
          <w:szCs w:val="20"/>
        </w:rPr>
        <w:t>.</w:t>
      </w:r>
    </w:p>
    <w:p w:rsidR="006A39DE" w:rsidRPr="00AF4077" w:rsidRDefault="006A39DE" w:rsidP="006A39DE">
      <w:pPr>
        <w:rPr>
          <w:rFonts w:asciiTheme="minorHAnsi" w:hAnsiTheme="minorHAnsi"/>
          <w:b/>
          <w:sz w:val="20"/>
          <w:szCs w:val="20"/>
          <w:u w:val="single"/>
        </w:rPr>
      </w:pPr>
      <w:r w:rsidRPr="00AF4077">
        <w:rPr>
          <w:rFonts w:asciiTheme="minorHAnsi" w:hAnsiTheme="minorHAnsi"/>
          <w:b/>
          <w:sz w:val="20"/>
          <w:szCs w:val="20"/>
          <w:u w:val="single"/>
        </w:rPr>
        <w:t xml:space="preserve">Auteur : </w:t>
      </w:r>
    </w:p>
    <w:p w:rsidR="006A39DE" w:rsidRPr="00AF4077" w:rsidRDefault="006A39DE" w:rsidP="006A39DE">
      <w:pPr>
        <w:rPr>
          <w:rFonts w:asciiTheme="minorHAnsi" w:hAnsiTheme="minorHAnsi"/>
          <w:sz w:val="20"/>
          <w:szCs w:val="20"/>
        </w:rPr>
      </w:pPr>
      <w:r w:rsidRPr="00AF4077">
        <w:rPr>
          <w:rFonts w:asciiTheme="minorHAnsi" w:hAnsiTheme="minorHAnsi"/>
          <w:sz w:val="20"/>
          <w:szCs w:val="20"/>
        </w:rPr>
        <w:t xml:space="preserve">Audrey Der </w:t>
      </w:r>
      <w:proofErr w:type="spellStart"/>
      <w:r w:rsidRPr="00AF4077">
        <w:rPr>
          <w:rFonts w:asciiTheme="minorHAnsi" w:hAnsiTheme="minorHAnsi"/>
          <w:sz w:val="20"/>
          <w:szCs w:val="20"/>
        </w:rPr>
        <w:t>Vartanian</w:t>
      </w:r>
      <w:proofErr w:type="spellEnd"/>
    </w:p>
    <w:p w:rsidR="006A39DE" w:rsidRPr="00AF4077" w:rsidRDefault="006A39DE" w:rsidP="006A39DE">
      <w:pPr>
        <w:rPr>
          <w:rFonts w:asciiTheme="minorHAnsi" w:hAnsiTheme="minorHAnsi"/>
          <w:sz w:val="20"/>
          <w:szCs w:val="20"/>
        </w:rPr>
      </w:pPr>
      <w:r w:rsidRPr="00AF4077">
        <w:rPr>
          <w:rFonts w:asciiTheme="minorHAnsi" w:hAnsiTheme="minorHAnsi"/>
          <w:sz w:val="20"/>
          <w:szCs w:val="20"/>
        </w:rPr>
        <w:t>audrey.der-vartanian@unilim.fr</w:t>
      </w:r>
    </w:p>
    <w:p w:rsidR="006A39DE" w:rsidRPr="00AF4077" w:rsidRDefault="006A39DE" w:rsidP="006A39DE">
      <w:pPr>
        <w:spacing w:after="0" w:line="240" w:lineRule="auto"/>
        <w:jc w:val="left"/>
        <w:rPr>
          <w:rFonts w:asciiTheme="minorHAnsi" w:eastAsia="Times New Roman" w:hAnsiTheme="minorHAnsi" w:cs="Arial"/>
          <w:sz w:val="20"/>
          <w:szCs w:val="20"/>
          <w:lang w:eastAsia="fr-FR"/>
        </w:rPr>
      </w:pPr>
      <w:r w:rsidRPr="00AF4077">
        <w:rPr>
          <w:rFonts w:asciiTheme="minorHAnsi" w:eastAsia="Times New Roman" w:hAnsiTheme="minorHAnsi" w:cs="Arial"/>
          <w:sz w:val="20"/>
          <w:szCs w:val="20"/>
          <w:lang w:eastAsia="fr-FR"/>
        </w:rPr>
        <w:t>Unité de Génétique Moléculaire Animale</w:t>
      </w:r>
    </w:p>
    <w:p w:rsidR="006A39DE" w:rsidRPr="00AF4077" w:rsidRDefault="006A39DE" w:rsidP="006A39DE">
      <w:pPr>
        <w:spacing w:after="0" w:line="240" w:lineRule="auto"/>
        <w:jc w:val="left"/>
        <w:rPr>
          <w:rFonts w:asciiTheme="minorHAnsi" w:eastAsia="Times New Roman" w:hAnsiTheme="minorHAnsi" w:cs="Arial"/>
          <w:sz w:val="20"/>
          <w:szCs w:val="20"/>
          <w:lang w:eastAsia="fr-FR"/>
        </w:rPr>
      </w:pPr>
      <w:r w:rsidRPr="00AF4077">
        <w:rPr>
          <w:rFonts w:asciiTheme="minorHAnsi" w:eastAsia="Times New Roman" w:hAnsiTheme="minorHAnsi" w:cs="Arial"/>
          <w:sz w:val="20"/>
          <w:szCs w:val="20"/>
          <w:lang w:eastAsia="fr-FR"/>
        </w:rPr>
        <w:t>UMR 1061 INRA/ Université de Limoges</w:t>
      </w:r>
    </w:p>
    <w:p w:rsidR="006A39DE" w:rsidRPr="00AF4077" w:rsidRDefault="006A39DE" w:rsidP="006A39DE">
      <w:pPr>
        <w:spacing w:after="0" w:line="240" w:lineRule="auto"/>
        <w:jc w:val="left"/>
        <w:rPr>
          <w:rFonts w:asciiTheme="minorHAnsi" w:eastAsia="Times New Roman" w:hAnsiTheme="minorHAnsi" w:cs="Arial"/>
          <w:sz w:val="20"/>
          <w:szCs w:val="20"/>
          <w:lang w:eastAsia="fr-FR"/>
        </w:rPr>
      </w:pPr>
      <w:r w:rsidRPr="006A39DE">
        <w:rPr>
          <w:rFonts w:asciiTheme="minorHAnsi" w:eastAsia="Times New Roman" w:hAnsiTheme="minorHAnsi" w:cs="Arial"/>
          <w:sz w:val="20"/>
          <w:szCs w:val="20"/>
          <w:lang w:eastAsia="fr-FR"/>
        </w:rPr>
        <w:t>Facul</w:t>
      </w:r>
      <w:r w:rsidRPr="00AF4077">
        <w:rPr>
          <w:rFonts w:asciiTheme="minorHAnsi" w:eastAsia="Times New Roman" w:hAnsiTheme="minorHAnsi" w:cs="Arial"/>
          <w:sz w:val="20"/>
          <w:szCs w:val="20"/>
          <w:lang w:eastAsia="fr-FR"/>
        </w:rPr>
        <w:t>té des Sciences et Techniques</w:t>
      </w:r>
      <w:r w:rsidRPr="00AF4077">
        <w:rPr>
          <w:rFonts w:asciiTheme="minorHAnsi" w:eastAsia="Times New Roman" w:hAnsiTheme="minorHAnsi" w:cs="Arial"/>
          <w:sz w:val="20"/>
          <w:szCs w:val="20"/>
          <w:lang w:eastAsia="fr-FR"/>
        </w:rPr>
        <w:br/>
        <w:t>123 Av. Albert Thomas</w:t>
      </w:r>
      <w:r w:rsidRPr="00AF4077">
        <w:rPr>
          <w:rFonts w:asciiTheme="minorHAnsi" w:eastAsia="Times New Roman" w:hAnsiTheme="minorHAnsi" w:cs="Arial"/>
          <w:sz w:val="20"/>
          <w:szCs w:val="20"/>
          <w:lang w:eastAsia="fr-FR"/>
        </w:rPr>
        <w:br/>
      </w:r>
      <w:r w:rsidRPr="006A39DE">
        <w:rPr>
          <w:rFonts w:asciiTheme="minorHAnsi" w:eastAsia="Times New Roman" w:hAnsiTheme="minorHAnsi" w:cs="Arial"/>
          <w:sz w:val="20"/>
          <w:szCs w:val="20"/>
          <w:lang w:eastAsia="fr-FR"/>
        </w:rPr>
        <w:t>87060 Limoges Cedex</w:t>
      </w:r>
    </w:p>
    <w:p w:rsidR="006A39DE" w:rsidRPr="00AF4077" w:rsidRDefault="006A39DE" w:rsidP="006A39DE">
      <w:pPr>
        <w:rPr>
          <w:rFonts w:asciiTheme="minorHAnsi" w:hAnsiTheme="minorHAnsi"/>
          <w:sz w:val="20"/>
          <w:szCs w:val="20"/>
        </w:rPr>
      </w:pPr>
    </w:p>
    <w:p w:rsidR="006A39DE" w:rsidRPr="00AF4077" w:rsidRDefault="006A39DE" w:rsidP="006A39DE">
      <w:pPr>
        <w:rPr>
          <w:rFonts w:asciiTheme="minorHAnsi" w:hAnsiTheme="minorHAnsi"/>
          <w:sz w:val="20"/>
          <w:szCs w:val="20"/>
        </w:rPr>
      </w:pPr>
      <w:r w:rsidRPr="00AF4077">
        <w:rPr>
          <w:rFonts w:asciiTheme="minorHAnsi" w:hAnsiTheme="minorHAnsi"/>
          <w:b/>
          <w:sz w:val="20"/>
          <w:szCs w:val="20"/>
          <w:u w:val="single"/>
        </w:rPr>
        <w:t>Type de produit</w:t>
      </w:r>
      <w:r w:rsidRPr="00AF4077">
        <w:rPr>
          <w:rFonts w:asciiTheme="minorHAnsi" w:hAnsiTheme="minorHAnsi"/>
          <w:sz w:val="20"/>
          <w:szCs w:val="20"/>
        </w:rPr>
        <w:t> : Thèse</w:t>
      </w:r>
      <w:r w:rsidR="00AF4077" w:rsidRPr="00AF4077">
        <w:rPr>
          <w:rFonts w:asciiTheme="minorHAnsi" w:hAnsiTheme="minorHAnsi"/>
          <w:sz w:val="20"/>
          <w:szCs w:val="20"/>
        </w:rPr>
        <w:t xml:space="preserve"> de doctorat</w:t>
      </w:r>
    </w:p>
    <w:p w:rsidR="006A39DE" w:rsidRPr="00AF4077" w:rsidRDefault="006A39DE" w:rsidP="006A39DE">
      <w:pPr>
        <w:rPr>
          <w:rFonts w:asciiTheme="minorHAnsi" w:hAnsiTheme="minorHAnsi"/>
          <w:sz w:val="20"/>
          <w:szCs w:val="20"/>
        </w:rPr>
      </w:pPr>
      <w:r w:rsidRPr="00AF4077">
        <w:rPr>
          <w:rFonts w:asciiTheme="minorHAnsi" w:hAnsiTheme="minorHAnsi"/>
          <w:b/>
          <w:sz w:val="20"/>
          <w:szCs w:val="20"/>
          <w:u w:val="single"/>
        </w:rPr>
        <w:t>Année :</w:t>
      </w:r>
      <w:r w:rsidRPr="00AF4077">
        <w:rPr>
          <w:rFonts w:asciiTheme="minorHAnsi" w:hAnsiTheme="minorHAnsi"/>
          <w:sz w:val="20"/>
          <w:szCs w:val="20"/>
        </w:rPr>
        <w:t xml:space="preserve"> 2015</w:t>
      </w:r>
    </w:p>
    <w:p w:rsidR="006A39DE" w:rsidRPr="00AF4077" w:rsidRDefault="006A39DE" w:rsidP="006A39DE">
      <w:pPr>
        <w:rPr>
          <w:rFonts w:asciiTheme="minorHAnsi" w:hAnsiTheme="minorHAnsi"/>
          <w:sz w:val="20"/>
          <w:szCs w:val="20"/>
        </w:rPr>
      </w:pPr>
      <w:r w:rsidRPr="00AF4077">
        <w:rPr>
          <w:rFonts w:asciiTheme="minorHAnsi" w:hAnsiTheme="minorHAnsi"/>
          <w:b/>
          <w:sz w:val="20"/>
          <w:szCs w:val="20"/>
          <w:u w:val="single"/>
        </w:rPr>
        <w:t>Langue :</w:t>
      </w:r>
      <w:r w:rsidRPr="00AF4077">
        <w:rPr>
          <w:rFonts w:asciiTheme="minorHAnsi" w:hAnsiTheme="minorHAnsi"/>
          <w:sz w:val="20"/>
          <w:szCs w:val="20"/>
        </w:rPr>
        <w:t xml:space="preserve"> Français</w:t>
      </w:r>
    </w:p>
    <w:p w:rsidR="006A39DE" w:rsidRPr="00AF4077" w:rsidRDefault="006A39DE" w:rsidP="006A39DE">
      <w:pPr>
        <w:rPr>
          <w:rFonts w:asciiTheme="minorHAnsi" w:hAnsiTheme="minorHAnsi"/>
          <w:sz w:val="20"/>
          <w:szCs w:val="20"/>
        </w:rPr>
      </w:pPr>
      <w:r w:rsidRPr="00AF4077">
        <w:rPr>
          <w:rFonts w:asciiTheme="minorHAnsi" w:hAnsiTheme="minorHAnsi"/>
          <w:b/>
          <w:sz w:val="20"/>
          <w:szCs w:val="20"/>
          <w:u w:val="single"/>
        </w:rPr>
        <w:t>Public visé :</w:t>
      </w:r>
      <w:r w:rsidRPr="00AF4077">
        <w:rPr>
          <w:rFonts w:asciiTheme="minorHAnsi" w:hAnsiTheme="minorHAnsi"/>
          <w:sz w:val="20"/>
          <w:szCs w:val="20"/>
        </w:rPr>
        <w:t xml:space="preserve"> Scientifique</w:t>
      </w:r>
    </w:p>
    <w:p w:rsidR="006A39DE" w:rsidRPr="00AF4077" w:rsidRDefault="006A39DE" w:rsidP="006A39DE">
      <w:pPr>
        <w:rPr>
          <w:rFonts w:asciiTheme="minorHAnsi" w:hAnsiTheme="minorHAnsi"/>
          <w:b/>
          <w:sz w:val="20"/>
          <w:szCs w:val="20"/>
          <w:u w:val="single"/>
        </w:rPr>
      </w:pPr>
      <w:r w:rsidRPr="00AF4077">
        <w:rPr>
          <w:rFonts w:asciiTheme="minorHAnsi" w:hAnsiTheme="minorHAnsi"/>
          <w:b/>
          <w:sz w:val="20"/>
          <w:szCs w:val="20"/>
          <w:u w:val="single"/>
        </w:rPr>
        <w:t>Résumé :</w:t>
      </w:r>
    </w:p>
    <w:p w:rsidR="006A39DE" w:rsidRPr="00AF4077" w:rsidRDefault="006A39DE" w:rsidP="006A39DE">
      <w:pPr>
        <w:spacing w:after="0" w:line="240" w:lineRule="auto"/>
        <w:ind w:firstLine="567"/>
        <w:rPr>
          <w:rFonts w:asciiTheme="minorHAnsi" w:hAnsiTheme="minorHAnsi"/>
          <w:sz w:val="20"/>
          <w:szCs w:val="20"/>
        </w:rPr>
      </w:pPr>
      <w:r w:rsidRPr="00AF4077">
        <w:rPr>
          <w:rFonts w:asciiTheme="minorHAnsi" w:hAnsiTheme="minorHAnsi"/>
          <w:sz w:val="20"/>
          <w:szCs w:val="20"/>
        </w:rPr>
        <w:t xml:space="preserve">Au cours de la myogenèse post-natale, la voie de signalisation de </w:t>
      </w:r>
      <w:proofErr w:type="spellStart"/>
      <w:r w:rsidRPr="00AF4077">
        <w:rPr>
          <w:rFonts w:asciiTheme="minorHAnsi" w:hAnsiTheme="minorHAnsi"/>
          <w:sz w:val="20"/>
          <w:szCs w:val="20"/>
        </w:rPr>
        <w:t>Notch</w:t>
      </w:r>
      <w:proofErr w:type="spellEnd"/>
      <w:r w:rsidRPr="00AF4077">
        <w:rPr>
          <w:rFonts w:asciiTheme="minorHAnsi" w:hAnsiTheme="minorHAnsi"/>
          <w:sz w:val="20"/>
          <w:szCs w:val="20"/>
        </w:rPr>
        <w:t xml:space="preserve"> participe au développement et à la régénération du muscle squelettique chez les mammifères. Elle permet le maintien de l’état prolifératif des </w:t>
      </w:r>
      <w:proofErr w:type="spellStart"/>
      <w:r w:rsidRPr="00AF4077">
        <w:rPr>
          <w:rFonts w:asciiTheme="minorHAnsi" w:hAnsiTheme="minorHAnsi"/>
          <w:sz w:val="20"/>
          <w:szCs w:val="20"/>
        </w:rPr>
        <w:t>myoblastes</w:t>
      </w:r>
      <w:proofErr w:type="spellEnd"/>
      <w:r w:rsidRPr="00AF4077">
        <w:rPr>
          <w:rFonts w:asciiTheme="minorHAnsi" w:hAnsiTheme="minorHAnsi"/>
          <w:sz w:val="20"/>
          <w:szCs w:val="20"/>
        </w:rPr>
        <w:t xml:space="preserve">, contrôle la quiescence des cellules satellites </w:t>
      </w:r>
      <w:r w:rsidRPr="00AF4077">
        <w:rPr>
          <w:rFonts w:asciiTheme="minorHAnsi" w:hAnsiTheme="minorHAnsi"/>
          <w:i/>
          <w:sz w:val="20"/>
          <w:szCs w:val="20"/>
        </w:rPr>
        <w:t>in vivo</w:t>
      </w:r>
      <w:r w:rsidRPr="00AF4077">
        <w:rPr>
          <w:rFonts w:asciiTheme="minorHAnsi" w:hAnsiTheme="minorHAnsi"/>
          <w:sz w:val="20"/>
          <w:szCs w:val="20"/>
        </w:rPr>
        <w:t xml:space="preserve"> et préserve une sous-population de cellules de réserve indifférenciées </w:t>
      </w:r>
      <w:r w:rsidRPr="00AF4077">
        <w:rPr>
          <w:rFonts w:asciiTheme="minorHAnsi" w:hAnsiTheme="minorHAnsi"/>
          <w:i/>
          <w:sz w:val="20"/>
          <w:szCs w:val="20"/>
        </w:rPr>
        <w:t>in vitro</w:t>
      </w:r>
      <w:r w:rsidRPr="00AF4077">
        <w:rPr>
          <w:rFonts w:asciiTheme="minorHAnsi" w:hAnsiTheme="minorHAnsi"/>
          <w:sz w:val="20"/>
          <w:szCs w:val="20"/>
        </w:rPr>
        <w:t xml:space="preserve">. L’activation de la voie et l’interaction du récepteur </w:t>
      </w:r>
      <w:proofErr w:type="spellStart"/>
      <w:r w:rsidRPr="00AF4077">
        <w:rPr>
          <w:rFonts w:asciiTheme="minorHAnsi" w:hAnsiTheme="minorHAnsi"/>
          <w:sz w:val="20"/>
          <w:szCs w:val="20"/>
        </w:rPr>
        <w:t>Notch</w:t>
      </w:r>
      <w:proofErr w:type="spellEnd"/>
      <w:r w:rsidRPr="00AF4077">
        <w:rPr>
          <w:rFonts w:asciiTheme="minorHAnsi" w:hAnsiTheme="minorHAnsi"/>
          <w:sz w:val="20"/>
          <w:szCs w:val="20"/>
        </w:rPr>
        <w:t xml:space="preserve"> avec ses ligands est dépendante de leur entité glucidique, notamment de leurs </w:t>
      </w:r>
      <w:r w:rsidRPr="00AF4077">
        <w:rPr>
          <w:rFonts w:asciiTheme="minorHAnsi" w:hAnsiTheme="minorHAnsi"/>
          <w:i/>
          <w:sz w:val="20"/>
          <w:szCs w:val="20"/>
        </w:rPr>
        <w:t>O</w:t>
      </w:r>
      <w:r w:rsidRPr="00AF4077">
        <w:rPr>
          <w:rFonts w:asciiTheme="minorHAnsi" w:hAnsiTheme="minorHAnsi"/>
          <w:sz w:val="20"/>
          <w:szCs w:val="20"/>
        </w:rPr>
        <w:t>-</w:t>
      </w:r>
      <w:proofErr w:type="spellStart"/>
      <w:r w:rsidRPr="00AF4077">
        <w:rPr>
          <w:rFonts w:asciiTheme="minorHAnsi" w:hAnsiTheme="minorHAnsi"/>
          <w:sz w:val="20"/>
          <w:szCs w:val="20"/>
        </w:rPr>
        <w:t>fucosylglycannes</w:t>
      </w:r>
      <w:proofErr w:type="spellEnd"/>
      <w:r w:rsidRPr="00AF4077">
        <w:rPr>
          <w:rFonts w:asciiTheme="minorHAnsi" w:hAnsiTheme="minorHAnsi"/>
          <w:sz w:val="20"/>
          <w:szCs w:val="20"/>
        </w:rPr>
        <w:t xml:space="preserve">. La synthèse de ces derniers est initiée par la protéine </w:t>
      </w:r>
      <w:r w:rsidRPr="00AF4077">
        <w:rPr>
          <w:rFonts w:asciiTheme="minorHAnsi" w:hAnsiTheme="minorHAnsi"/>
          <w:i/>
          <w:sz w:val="20"/>
          <w:szCs w:val="20"/>
        </w:rPr>
        <w:t>O</w:t>
      </w:r>
      <w:r w:rsidRPr="00AF4077">
        <w:rPr>
          <w:rFonts w:asciiTheme="minorHAnsi" w:hAnsiTheme="minorHAnsi"/>
          <w:sz w:val="20"/>
          <w:szCs w:val="20"/>
        </w:rPr>
        <w:t>-</w:t>
      </w:r>
      <w:proofErr w:type="spellStart"/>
      <w:r w:rsidRPr="00AF4077">
        <w:rPr>
          <w:rFonts w:asciiTheme="minorHAnsi" w:hAnsiTheme="minorHAnsi"/>
          <w:sz w:val="20"/>
          <w:szCs w:val="20"/>
        </w:rPr>
        <w:t>fucosyltransférase</w:t>
      </w:r>
      <w:proofErr w:type="spellEnd"/>
      <w:r w:rsidRPr="00AF4077">
        <w:rPr>
          <w:rFonts w:asciiTheme="minorHAnsi" w:hAnsiTheme="minorHAnsi"/>
          <w:sz w:val="20"/>
          <w:szCs w:val="20"/>
        </w:rPr>
        <w:t xml:space="preserve"> 1 (Pofut1) qui greffe un </w:t>
      </w:r>
      <w:r w:rsidRPr="00AF4077">
        <w:rPr>
          <w:rFonts w:asciiTheme="minorHAnsi" w:hAnsiTheme="minorHAnsi"/>
          <w:i/>
          <w:sz w:val="20"/>
          <w:szCs w:val="20"/>
        </w:rPr>
        <w:t>O</w:t>
      </w:r>
      <w:r w:rsidRPr="00AF4077">
        <w:rPr>
          <w:rFonts w:asciiTheme="minorHAnsi" w:hAnsiTheme="minorHAnsi"/>
          <w:sz w:val="20"/>
          <w:szCs w:val="20"/>
        </w:rPr>
        <w:t>-</w:t>
      </w:r>
      <w:proofErr w:type="spellStart"/>
      <w:r w:rsidRPr="00AF4077">
        <w:rPr>
          <w:rFonts w:asciiTheme="minorHAnsi" w:hAnsiTheme="minorHAnsi"/>
          <w:sz w:val="20"/>
          <w:szCs w:val="20"/>
        </w:rPr>
        <w:t>fucose</w:t>
      </w:r>
      <w:proofErr w:type="spellEnd"/>
      <w:r w:rsidRPr="00AF4077">
        <w:rPr>
          <w:rFonts w:asciiTheme="minorHAnsi" w:hAnsiTheme="minorHAnsi"/>
          <w:sz w:val="20"/>
          <w:szCs w:val="20"/>
        </w:rPr>
        <w:t xml:space="preserve"> sur des domaines peptidiques particuliers appelés EGF-</w:t>
      </w:r>
      <w:proofErr w:type="spellStart"/>
      <w:r w:rsidRPr="00AF4077">
        <w:rPr>
          <w:rFonts w:asciiTheme="minorHAnsi" w:hAnsiTheme="minorHAnsi"/>
          <w:sz w:val="20"/>
          <w:szCs w:val="20"/>
        </w:rPr>
        <w:t>like</w:t>
      </w:r>
      <w:proofErr w:type="spellEnd"/>
      <w:r w:rsidRPr="00AF4077">
        <w:rPr>
          <w:rFonts w:asciiTheme="minorHAnsi" w:hAnsiTheme="minorHAnsi"/>
          <w:sz w:val="20"/>
          <w:szCs w:val="20"/>
        </w:rPr>
        <w:t xml:space="preserve">. </w:t>
      </w:r>
    </w:p>
    <w:p w:rsidR="006A39DE" w:rsidRPr="00AF4077" w:rsidRDefault="006A39DE" w:rsidP="006A39DE">
      <w:pPr>
        <w:spacing w:after="0" w:line="240" w:lineRule="auto"/>
        <w:ind w:firstLine="567"/>
        <w:rPr>
          <w:rFonts w:asciiTheme="minorHAnsi" w:hAnsiTheme="minorHAnsi"/>
          <w:sz w:val="20"/>
          <w:szCs w:val="20"/>
        </w:rPr>
      </w:pPr>
      <w:r w:rsidRPr="00AF4077">
        <w:rPr>
          <w:rFonts w:asciiTheme="minorHAnsi" w:hAnsiTheme="minorHAnsi"/>
          <w:sz w:val="20"/>
          <w:szCs w:val="20"/>
        </w:rPr>
        <w:t xml:space="preserve">Bien que les acteurs moléculaires de la différenciation myogénique aient été largement étudiés par la communauté scientifique, la contribution de la glycosylation des protéines dans ce processus reste peu documentée. </w:t>
      </w:r>
    </w:p>
    <w:p w:rsidR="006A39DE" w:rsidRPr="00AF4077" w:rsidRDefault="006A39DE" w:rsidP="006A39DE">
      <w:pPr>
        <w:spacing w:after="0" w:line="240" w:lineRule="auto"/>
        <w:ind w:firstLine="567"/>
        <w:rPr>
          <w:rFonts w:asciiTheme="minorHAnsi" w:hAnsiTheme="minorHAnsi"/>
          <w:sz w:val="20"/>
          <w:szCs w:val="20"/>
        </w:rPr>
      </w:pPr>
      <w:r w:rsidRPr="00AF4077">
        <w:rPr>
          <w:rFonts w:asciiTheme="minorHAnsi" w:hAnsiTheme="minorHAnsi"/>
          <w:sz w:val="20"/>
          <w:szCs w:val="20"/>
        </w:rPr>
        <w:t xml:space="preserve">Une approche expérimentale </w:t>
      </w:r>
      <w:r w:rsidRPr="00AF4077">
        <w:rPr>
          <w:rFonts w:asciiTheme="minorHAnsi" w:hAnsiTheme="minorHAnsi"/>
          <w:i/>
          <w:sz w:val="20"/>
          <w:szCs w:val="20"/>
        </w:rPr>
        <w:t>in vitro</w:t>
      </w:r>
      <w:r w:rsidRPr="00AF4077">
        <w:rPr>
          <w:rFonts w:asciiTheme="minorHAnsi" w:hAnsiTheme="minorHAnsi"/>
          <w:sz w:val="20"/>
          <w:szCs w:val="20"/>
        </w:rPr>
        <w:t xml:space="preserve"> basée sur l’utilisation de la lignée </w:t>
      </w:r>
      <w:proofErr w:type="spellStart"/>
      <w:r w:rsidRPr="00AF4077">
        <w:rPr>
          <w:rFonts w:asciiTheme="minorHAnsi" w:hAnsiTheme="minorHAnsi"/>
          <w:sz w:val="20"/>
          <w:szCs w:val="20"/>
        </w:rPr>
        <w:t>myoblastique</w:t>
      </w:r>
      <w:proofErr w:type="spellEnd"/>
      <w:r w:rsidRPr="00AF4077">
        <w:rPr>
          <w:rFonts w:asciiTheme="minorHAnsi" w:hAnsiTheme="minorHAnsi"/>
          <w:sz w:val="20"/>
          <w:szCs w:val="20"/>
        </w:rPr>
        <w:t xml:space="preserve"> murine C2C12 nous a permis d’identifier une expression importante de Pofut1 dans les cellules de réserve tandis qu’elle est restreinte dans les </w:t>
      </w:r>
      <w:proofErr w:type="spellStart"/>
      <w:r w:rsidRPr="00AF4077">
        <w:rPr>
          <w:rFonts w:asciiTheme="minorHAnsi" w:hAnsiTheme="minorHAnsi"/>
          <w:sz w:val="20"/>
          <w:szCs w:val="20"/>
        </w:rPr>
        <w:t>myotubes</w:t>
      </w:r>
      <w:proofErr w:type="spellEnd"/>
      <w:r w:rsidRPr="00AF4077">
        <w:rPr>
          <w:rFonts w:asciiTheme="minorHAnsi" w:hAnsiTheme="minorHAnsi"/>
          <w:sz w:val="20"/>
          <w:szCs w:val="20"/>
        </w:rPr>
        <w:t xml:space="preserve"> durant la différenciation myogénique. Plusieurs lignées de cellules C2C12 ont été générées pour qu’elles expriment de manière stable et différentielle Pofut1. Elles permettent ainsi d’évaluer l’importance du niveau d’expression de Pofut1 sur la différenciation myogénique.</w:t>
      </w:r>
    </w:p>
    <w:p w:rsidR="006A39DE" w:rsidRPr="00AF4077" w:rsidRDefault="006A39DE" w:rsidP="006A39DE">
      <w:pPr>
        <w:spacing w:after="0" w:line="240" w:lineRule="auto"/>
        <w:ind w:firstLine="567"/>
        <w:rPr>
          <w:rFonts w:asciiTheme="minorHAnsi" w:hAnsiTheme="minorHAnsi"/>
          <w:sz w:val="20"/>
          <w:szCs w:val="20"/>
        </w:rPr>
      </w:pPr>
      <w:r w:rsidRPr="00AF4077">
        <w:rPr>
          <w:rFonts w:asciiTheme="minorHAnsi" w:hAnsiTheme="minorHAnsi"/>
          <w:sz w:val="20"/>
          <w:szCs w:val="20"/>
        </w:rPr>
        <w:t xml:space="preserve">La sous-expression de Pofut1 réduit l’activation de la voie de signalisation de </w:t>
      </w:r>
      <w:proofErr w:type="spellStart"/>
      <w:r w:rsidRPr="00AF4077">
        <w:rPr>
          <w:rFonts w:asciiTheme="minorHAnsi" w:hAnsiTheme="minorHAnsi"/>
          <w:sz w:val="20"/>
          <w:szCs w:val="20"/>
        </w:rPr>
        <w:t>Notch</w:t>
      </w:r>
      <w:proofErr w:type="spellEnd"/>
      <w:r w:rsidRPr="00AF4077">
        <w:rPr>
          <w:rFonts w:asciiTheme="minorHAnsi" w:hAnsiTheme="minorHAnsi"/>
          <w:sz w:val="20"/>
          <w:szCs w:val="20"/>
        </w:rPr>
        <w:t xml:space="preserve"> conduisant à une entrée précoce des </w:t>
      </w:r>
      <w:proofErr w:type="spellStart"/>
      <w:r w:rsidRPr="00AF4077">
        <w:rPr>
          <w:rFonts w:asciiTheme="minorHAnsi" w:hAnsiTheme="minorHAnsi"/>
          <w:sz w:val="20"/>
          <w:szCs w:val="20"/>
        </w:rPr>
        <w:t>myoblastes</w:t>
      </w:r>
      <w:proofErr w:type="spellEnd"/>
      <w:r w:rsidRPr="00AF4077">
        <w:rPr>
          <w:rFonts w:asciiTheme="minorHAnsi" w:hAnsiTheme="minorHAnsi"/>
          <w:sz w:val="20"/>
          <w:szCs w:val="20"/>
        </w:rPr>
        <w:t xml:space="preserve"> dans le programme myogénique. Ceci a pour conséquence la </w:t>
      </w:r>
      <w:proofErr w:type="spellStart"/>
      <w:r w:rsidRPr="00AF4077">
        <w:rPr>
          <w:rFonts w:asciiTheme="minorHAnsi" w:hAnsiTheme="minorHAnsi"/>
          <w:sz w:val="20"/>
          <w:szCs w:val="20"/>
        </w:rPr>
        <w:t>dépletion</w:t>
      </w:r>
      <w:proofErr w:type="spellEnd"/>
      <w:r w:rsidRPr="00AF4077">
        <w:rPr>
          <w:rFonts w:asciiTheme="minorHAnsi" w:hAnsiTheme="minorHAnsi"/>
          <w:sz w:val="20"/>
          <w:szCs w:val="20"/>
        </w:rPr>
        <w:t xml:space="preserve"> des cellules de réserve Pax7+/</w:t>
      </w:r>
      <w:proofErr w:type="spellStart"/>
      <w:r w:rsidRPr="00AF4077">
        <w:rPr>
          <w:rFonts w:asciiTheme="minorHAnsi" w:hAnsiTheme="minorHAnsi"/>
          <w:sz w:val="20"/>
          <w:szCs w:val="20"/>
        </w:rPr>
        <w:t>MyoD</w:t>
      </w:r>
      <w:proofErr w:type="spellEnd"/>
      <w:r w:rsidRPr="00AF4077">
        <w:rPr>
          <w:rFonts w:asciiTheme="minorHAnsi" w:hAnsiTheme="minorHAnsi"/>
          <w:sz w:val="20"/>
          <w:szCs w:val="20"/>
        </w:rPr>
        <w:t xml:space="preserve">- au profit d’une augmentation du nombre de </w:t>
      </w:r>
      <w:proofErr w:type="spellStart"/>
      <w:r w:rsidRPr="00AF4077">
        <w:rPr>
          <w:rFonts w:asciiTheme="minorHAnsi" w:hAnsiTheme="minorHAnsi"/>
          <w:sz w:val="20"/>
          <w:szCs w:val="20"/>
        </w:rPr>
        <w:t>myotubes</w:t>
      </w:r>
      <w:proofErr w:type="spellEnd"/>
      <w:r w:rsidRPr="00AF4077">
        <w:rPr>
          <w:rFonts w:asciiTheme="minorHAnsi" w:hAnsiTheme="minorHAnsi"/>
          <w:sz w:val="20"/>
          <w:szCs w:val="20"/>
        </w:rPr>
        <w:t xml:space="preserve">. Des études </w:t>
      </w:r>
      <w:proofErr w:type="spellStart"/>
      <w:r w:rsidRPr="00AF4077">
        <w:rPr>
          <w:rFonts w:asciiTheme="minorHAnsi" w:hAnsiTheme="minorHAnsi"/>
          <w:sz w:val="20"/>
          <w:szCs w:val="20"/>
        </w:rPr>
        <w:t>morphométriques</w:t>
      </w:r>
      <w:proofErr w:type="spellEnd"/>
      <w:r w:rsidRPr="00AF4077">
        <w:rPr>
          <w:rFonts w:asciiTheme="minorHAnsi" w:hAnsiTheme="minorHAnsi"/>
          <w:sz w:val="20"/>
          <w:szCs w:val="20"/>
        </w:rPr>
        <w:t xml:space="preserve"> ont révélé un défaut d’accrétion nucléaire dans les </w:t>
      </w:r>
      <w:proofErr w:type="spellStart"/>
      <w:r w:rsidRPr="00AF4077">
        <w:rPr>
          <w:rFonts w:asciiTheme="minorHAnsi" w:hAnsiTheme="minorHAnsi"/>
          <w:sz w:val="20"/>
          <w:szCs w:val="20"/>
        </w:rPr>
        <w:t>myotubes</w:t>
      </w:r>
      <w:proofErr w:type="spellEnd"/>
      <w:r w:rsidRPr="00AF4077">
        <w:rPr>
          <w:rFonts w:asciiTheme="minorHAnsi" w:hAnsiTheme="minorHAnsi"/>
          <w:sz w:val="20"/>
          <w:szCs w:val="20"/>
        </w:rPr>
        <w:t xml:space="preserve"> sous-exprimant </w:t>
      </w:r>
      <w:r w:rsidRPr="00AF4077">
        <w:rPr>
          <w:rFonts w:asciiTheme="minorHAnsi" w:hAnsiTheme="minorHAnsi"/>
          <w:i/>
          <w:sz w:val="20"/>
          <w:szCs w:val="20"/>
        </w:rPr>
        <w:t>Pofut1</w:t>
      </w:r>
      <w:r w:rsidRPr="00AF4077">
        <w:rPr>
          <w:rFonts w:asciiTheme="minorHAnsi" w:hAnsiTheme="minorHAnsi"/>
          <w:sz w:val="20"/>
          <w:szCs w:val="20"/>
        </w:rPr>
        <w:t>, caractéristique d’une altération de la fusion secondaire. Ces observations sont accompagnées d’une diminution significative de l’expression du récepteur à l’interleukine 4 dans les cellules de r</w:t>
      </w:r>
      <w:r w:rsidR="0098229F">
        <w:rPr>
          <w:rFonts w:asciiTheme="minorHAnsi" w:hAnsiTheme="minorHAnsi"/>
          <w:sz w:val="20"/>
          <w:szCs w:val="20"/>
        </w:rPr>
        <w:t>é</w:t>
      </w:r>
      <w:bookmarkStart w:id="0" w:name="_GoBack"/>
      <w:bookmarkEnd w:id="0"/>
      <w:r w:rsidRPr="00AF4077">
        <w:rPr>
          <w:rFonts w:asciiTheme="minorHAnsi" w:hAnsiTheme="minorHAnsi"/>
          <w:sz w:val="20"/>
          <w:szCs w:val="20"/>
        </w:rPr>
        <w:t xml:space="preserve">serve sous-exprimant </w:t>
      </w:r>
      <w:r w:rsidRPr="00AF4077">
        <w:rPr>
          <w:rFonts w:asciiTheme="minorHAnsi" w:hAnsiTheme="minorHAnsi"/>
          <w:i/>
          <w:sz w:val="20"/>
          <w:szCs w:val="20"/>
        </w:rPr>
        <w:t>Pofut1</w:t>
      </w:r>
      <w:r w:rsidRPr="00AF4077">
        <w:rPr>
          <w:rFonts w:asciiTheme="minorHAnsi" w:hAnsiTheme="minorHAnsi"/>
          <w:sz w:val="20"/>
          <w:szCs w:val="20"/>
        </w:rPr>
        <w:t xml:space="preserve">. Les lignées cellulaires ré-exprimant Pofut1 présentent une activation de la voie de signalisation de </w:t>
      </w:r>
      <w:proofErr w:type="spellStart"/>
      <w:r w:rsidRPr="00AF4077">
        <w:rPr>
          <w:rFonts w:asciiTheme="minorHAnsi" w:hAnsiTheme="minorHAnsi"/>
          <w:sz w:val="20"/>
          <w:szCs w:val="20"/>
        </w:rPr>
        <w:t>Notch</w:t>
      </w:r>
      <w:proofErr w:type="spellEnd"/>
      <w:r w:rsidRPr="00AF4077">
        <w:rPr>
          <w:rFonts w:asciiTheme="minorHAnsi" w:hAnsiTheme="minorHAnsi"/>
          <w:sz w:val="20"/>
          <w:szCs w:val="20"/>
        </w:rPr>
        <w:t xml:space="preserve"> et un processus de fusion </w:t>
      </w:r>
      <w:proofErr w:type="spellStart"/>
      <w:r w:rsidRPr="00AF4077">
        <w:rPr>
          <w:rFonts w:asciiTheme="minorHAnsi" w:hAnsiTheme="minorHAnsi"/>
          <w:sz w:val="20"/>
          <w:szCs w:val="20"/>
        </w:rPr>
        <w:t>myoblastique</w:t>
      </w:r>
      <w:proofErr w:type="spellEnd"/>
      <w:r w:rsidRPr="00AF4077">
        <w:rPr>
          <w:rFonts w:asciiTheme="minorHAnsi" w:hAnsiTheme="minorHAnsi"/>
          <w:sz w:val="20"/>
          <w:szCs w:val="20"/>
        </w:rPr>
        <w:t xml:space="preserve"> correctement restaurés.</w:t>
      </w:r>
    </w:p>
    <w:p w:rsidR="006A39DE" w:rsidRPr="00AF4077" w:rsidRDefault="006A39DE" w:rsidP="006A39DE">
      <w:pPr>
        <w:spacing w:after="0" w:line="240" w:lineRule="auto"/>
        <w:ind w:firstLine="567"/>
        <w:rPr>
          <w:rFonts w:asciiTheme="minorHAnsi" w:hAnsiTheme="minorHAnsi"/>
          <w:sz w:val="20"/>
          <w:szCs w:val="20"/>
        </w:rPr>
      </w:pPr>
      <w:r w:rsidRPr="00AF4077">
        <w:rPr>
          <w:rFonts w:asciiTheme="minorHAnsi" w:hAnsiTheme="minorHAnsi"/>
          <w:sz w:val="20"/>
          <w:szCs w:val="20"/>
        </w:rPr>
        <w:t xml:space="preserve">Ces travaux de thèse ont mis en exergue pour la première fois le rôle essentiel de Pofut1 dans le devenir cellulaire et la fusion des </w:t>
      </w:r>
      <w:proofErr w:type="spellStart"/>
      <w:r w:rsidRPr="00AF4077">
        <w:rPr>
          <w:rFonts w:asciiTheme="minorHAnsi" w:hAnsiTheme="minorHAnsi"/>
          <w:sz w:val="20"/>
          <w:szCs w:val="20"/>
        </w:rPr>
        <w:t>myoblastes</w:t>
      </w:r>
      <w:proofErr w:type="spellEnd"/>
      <w:r w:rsidRPr="00AF4077">
        <w:rPr>
          <w:rFonts w:asciiTheme="minorHAnsi" w:hAnsiTheme="minorHAnsi"/>
          <w:sz w:val="20"/>
          <w:szCs w:val="20"/>
        </w:rPr>
        <w:t xml:space="preserve"> au cours de la différenciation myogénique.</w:t>
      </w:r>
    </w:p>
    <w:p w:rsidR="006A39DE" w:rsidRPr="00AF4077" w:rsidRDefault="006A39DE" w:rsidP="006A39DE">
      <w:pPr>
        <w:spacing w:after="0" w:line="240" w:lineRule="auto"/>
        <w:rPr>
          <w:rFonts w:asciiTheme="minorHAnsi" w:hAnsiTheme="minorHAnsi"/>
          <w:sz w:val="20"/>
          <w:szCs w:val="20"/>
        </w:rPr>
      </w:pPr>
    </w:p>
    <w:p w:rsidR="006A39DE" w:rsidRPr="00AF4077" w:rsidRDefault="006A39DE" w:rsidP="006A39DE">
      <w:pPr>
        <w:spacing w:after="0" w:line="240" w:lineRule="auto"/>
        <w:rPr>
          <w:rFonts w:asciiTheme="minorHAnsi" w:hAnsiTheme="minorHAnsi"/>
          <w:sz w:val="20"/>
          <w:szCs w:val="20"/>
        </w:rPr>
      </w:pPr>
      <w:r w:rsidRPr="00AF4077">
        <w:rPr>
          <w:rFonts w:asciiTheme="minorHAnsi" w:hAnsiTheme="minorHAnsi"/>
          <w:sz w:val="20"/>
          <w:szCs w:val="20"/>
        </w:rPr>
        <w:t>.</w:t>
      </w:r>
    </w:p>
    <w:p w:rsidR="006A39DE" w:rsidRPr="00AF4077" w:rsidRDefault="006A39DE" w:rsidP="006A39DE">
      <w:pPr>
        <w:spacing w:after="0" w:line="240" w:lineRule="auto"/>
        <w:rPr>
          <w:rFonts w:asciiTheme="minorHAnsi" w:hAnsiTheme="minorHAnsi"/>
          <w:sz w:val="20"/>
          <w:szCs w:val="20"/>
        </w:rPr>
      </w:pPr>
    </w:p>
    <w:p w:rsidR="00C915C6" w:rsidRPr="00AF4077" w:rsidRDefault="006A39DE">
      <w:pPr>
        <w:rPr>
          <w:rFonts w:asciiTheme="minorHAnsi" w:hAnsiTheme="minorHAnsi"/>
          <w:sz w:val="20"/>
          <w:szCs w:val="20"/>
        </w:rPr>
      </w:pPr>
      <w:r w:rsidRPr="00AF4077">
        <w:rPr>
          <w:rFonts w:asciiTheme="minorHAnsi" w:hAnsiTheme="minorHAnsi"/>
          <w:b/>
          <w:sz w:val="20"/>
          <w:szCs w:val="20"/>
          <w:u w:val="single"/>
        </w:rPr>
        <w:t xml:space="preserve">Date de soutenance : </w:t>
      </w:r>
      <w:r w:rsidRPr="00AF4077">
        <w:rPr>
          <w:rFonts w:asciiTheme="minorHAnsi" w:hAnsiTheme="minorHAnsi"/>
          <w:sz w:val="20"/>
          <w:szCs w:val="20"/>
        </w:rPr>
        <w:t>2015-02-11</w:t>
      </w:r>
    </w:p>
    <w:p w:rsidR="006A39DE" w:rsidRPr="00AF4077" w:rsidRDefault="006A39DE">
      <w:pPr>
        <w:rPr>
          <w:rFonts w:asciiTheme="minorHAnsi" w:hAnsiTheme="minorHAnsi"/>
          <w:b/>
          <w:sz w:val="20"/>
          <w:szCs w:val="20"/>
          <w:u w:val="single"/>
        </w:rPr>
      </w:pPr>
      <w:r w:rsidRPr="00AF4077">
        <w:rPr>
          <w:rFonts w:asciiTheme="minorHAnsi" w:hAnsiTheme="minorHAnsi"/>
          <w:b/>
          <w:sz w:val="20"/>
          <w:szCs w:val="20"/>
          <w:u w:val="single"/>
        </w:rPr>
        <w:t xml:space="preserve">Composition du jury : </w:t>
      </w:r>
    </w:p>
    <w:p w:rsidR="00F603B5" w:rsidRPr="00AF4077" w:rsidRDefault="00F603B5" w:rsidP="0098229F">
      <w:pPr>
        <w:spacing w:after="0"/>
        <w:rPr>
          <w:rFonts w:asciiTheme="minorHAnsi" w:hAnsiTheme="minorHAnsi" w:cstheme="minorHAnsi"/>
          <w:sz w:val="20"/>
          <w:szCs w:val="20"/>
        </w:rPr>
      </w:pPr>
      <w:r w:rsidRPr="00AF4077">
        <w:rPr>
          <w:rFonts w:asciiTheme="minorHAnsi" w:hAnsiTheme="minorHAnsi"/>
          <w:sz w:val="20"/>
          <w:szCs w:val="20"/>
        </w:rPr>
        <w:lastRenderedPageBreak/>
        <w:t xml:space="preserve">François </w:t>
      </w:r>
      <w:proofErr w:type="spellStart"/>
      <w:r w:rsidRPr="00AF4077">
        <w:rPr>
          <w:rFonts w:asciiTheme="minorHAnsi" w:hAnsiTheme="minorHAnsi"/>
          <w:sz w:val="20"/>
          <w:szCs w:val="20"/>
        </w:rPr>
        <w:t>Foulquier</w:t>
      </w:r>
      <w:proofErr w:type="spellEnd"/>
      <w:r w:rsidRPr="00AF4077">
        <w:rPr>
          <w:rFonts w:asciiTheme="minorHAnsi" w:hAnsiTheme="minorHAnsi"/>
          <w:sz w:val="20"/>
          <w:szCs w:val="20"/>
        </w:rPr>
        <w:t xml:space="preserve">, </w:t>
      </w:r>
      <w:r w:rsidRPr="00AF4077">
        <w:rPr>
          <w:rFonts w:asciiTheme="minorHAnsi" w:hAnsiTheme="minorHAnsi" w:cstheme="minorHAnsi"/>
          <w:sz w:val="20"/>
          <w:szCs w:val="20"/>
        </w:rPr>
        <w:t>Chargé de Recherche 1, CNRS/Université Lille 1</w:t>
      </w:r>
    </w:p>
    <w:p w:rsidR="00F603B5" w:rsidRPr="00AF4077" w:rsidRDefault="00F603B5" w:rsidP="0098229F">
      <w:pPr>
        <w:spacing w:after="0"/>
        <w:rPr>
          <w:rFonts w:asciiTheme="minorHAnsi" w:hAnsiTheme="minorHAnsi" w:cstheme="minorHAnsi"/>
          <w:sz w:val="20"/>
          <w:szCs w:val="20"/>
        </w:rPr>
      </w:pPr>
      <w:r w:rsidRPr="00AF4077">
        <w:rPr>
          <w:rFonts w:asciiTheme="minorHAnsi" w:hAnsiTheme="minorHAnsi" w:cstheme="minorHAnsi"/>
          <w:sz w:val="20"/>
          <w:szCs w:val="20"/>
        </w:rPr>
        <w:t xml:space="preserve">Laurent Tiret, </w:t>
      </w:r>
      <w:r w:rsidRPr="00AF4077">
        <w:rPr>
          <w:rFonts w:asciiTheme="minorHAnsi" w:hAnsiTheme="minorHAnsi" w:cstheme="minorHAnsi"/>
          <w:sz w:val="20"/>
          <w:szCs w:val="20"/>
        </w:rPr>
        <w:t>Professeur, Ecole Nationale Vétérinaire de Maisons-Alfort</w:t>
      </w:r>
    </w:p>
    <w:p w:rsidR="00F603B5" w:rsidRPr="00AF4077" w:rsidRDefault="00F603B5" w:rsidP="0098229F">
      <w:pPr>
        <w:spacing w:after="0"/>
        <w:rPr>
          <w:rFonts w:asciiTheme="minorHAnsi" w:hAnsiTheme="minorHAnsi" w:cstheme="minorHAnsi"/>
          <w:sz w:val="20"/>
          <w:szCs w:val="20"/>
        </w:rPr>
      </w:pPr>
      <w:r w:rsidRPr="00AF4077">
        <w:rPr>
          <w:rFonts w:asciiTheme="minorHAnsi" w:hAnsiTheme="minorHAnsi" w:cstheme="minorHAnsi"/>
          <w:sz w:val="20"/>
          <w:szCs w:val="20"/>
        </w:rPr>
        <w:t xml:space="preserve">Delphine </w:t>
      </w:r>
      <w:proofErr w:type="spellStart"/>
      <w:r w:rsidRPr="00AF4077">
        <w:rPr>
          <w:rFonts w:asciiTheme="minorHAnsi" w:hAnsiTheme="minorHAnsi" w:cstheme="minorHAnsi"/>
          <w:sz w:val="20"/>
          <w:szCs w:val="20"/>
        </w:rPr>
        <w:t>Duprez</w:t>
      </w:r>
      <w:proofErr w:type="spellEnd"/>
      <w:r w:rsidRPr="00AF4077">
        <w:rPr>
          <w:rFonts w:asciiTheme="minorHAnsi" w:hAnsiTheme="minorHAnsi" w:cstheme="minorHAnsi"/>
          <w:sz w:val="20"/>
          <w:szCs w:val="20"/>
        </w:rPr>
        <w:t>, Directrice de Recherche, CNRS/Université Pierre et Marie Curie, Paris</w:t>
      </w:r>
    </w:p>
    <w:p w:rsidR="00F603B5" w:rsidRPr="00AF4077" w:rsidRDefault="00F603B5" w:rsidP="0098229F">
      <w:pPr>
        <w:spacing w:after="0"/>
        <w:rPr>
          <w:rFonts w:asciiTheme="minorHAnsi" w:hAnsiTheme="minorHAnsi" w:cstheme="minorHAnsi"/>
          <w:sz w:val="20"/>
          <w:szCs w:val="20"/>
        </w:rPr>
      </w:pPr>
      <w:r w:rsidRPr="00AF4077">
        <w:rPr>
          <w:rFonts w:asciiTheme="minorHAnsi" w:hAnsiTheme="minorHAnsi" w:cstheme="minorHAnsi"/>
          <w:sz w:val="20"/>
          <w:szCs w:val="20"/>
        </w:rPr>
        <w:t xml:space="preserve">Agnès </w:t>
      </w:r>
      <w:proofErr w:type="spellStart"/>
      <w:r w:rsidRPr="00AF4077">
        <w:rPr>
          <w:rFonts w:asciiTheme="minorHAnsi" w:hAnsiTheme="minorHAnsi" w:cstheme="minorHAnsi"/>
          <w:sz w:val="20"/>
          <w:szCs w:val="20"/>
        </w:rPr>
        <w:t>Germot</w:t>
      </w:r>
      <w:proofErr w:type="spellEnd"/>
      <w:r w:rsidRPr="00AF4077">
        <w:rPr>
          <w:rFonts w:asciiTheme="minorHAnsi" w:hAnsiTheme="minorHAnsi" w:cstheme="minorHAnsi"/>
          <w:sz w:val="20"/>
          <w:szCs w:val="20"/>
        </w:rPr>
        <w:t>, Maître de Conférences, Université de Limoges</w:t>
      </w:r>
    </w:p>
    <w:p w:rsidR="00F603B5" w:rsidRPr="00AF4077" w:rsidRDefault="00F603B5" w:rsidP="0098229F">
      <w:pPr>
        <w:spacing w:after="0"/>
        <w:rPr>
          <w:rFonts w:asciiTheme="minorHAnsi" w:hAnsiTheme="minorHAnsi" w:cstheme="minorHAnsi"/>
          <w:sz w:val="20"/>
          <w:szCs w:val="20"/>
        </w:rPr>
      </w:pPr>
      <w:proofErr w:type="spellStart"/>
      <w:r w:rsidRPr="00AF4077">
        <w:rPr>
          <w:rFonts w:asciiTheme="minorHAnsi" w:hAnsiTheme="minorHAnsi" w:cstheme="minorHAnsi"/>
          <w:sz w:val="20"/>
          <w:szCs w:val="20"/>
        </w:rPr>
        <w:t>Abderrahman</w:t>
      </w:r>
      <w:proofErr w:type="spellEnd"/>
      <w:r w:rsidRPr="00AF4077">
        <w:rPr>
          <w:rFonts w:asciiTheme="minorHAnsi" w:hAnsiTheme="minorHAnsi" w:cstheme="minorHAnsi"/>
          <w:sz w:val="20"/>
          <w:szCs w:val="20"/>
        </w:rPr>
        <w:t xml:space="preserve"> </w:t>
      </w:r>
      <w:proofErr w:type="spellStart"/>
      <w:r w:rsidRPr="00AF4077">
        <w:rPr>
          <w:rFonts w:asciiTheme="minorHAnsi" w:hAnsiTheme="minorHAnsi" w:cstheme="minorHAnsi"/>
          <w:sz w:val="20"/>
          <w:szCs w:val="20"/>
        </w:rPr>
        <w:t>Maftah</w:t>
      </w:r>
      <w:proofErr w:type="spellEnd"/>
      <w:r w:rsidRPr="00AF4077">
        <w:rPr>
          <w:rFonts w:asciiTheme="minorHAnsi" w:hAnsiTheme="minorHAnsi" w:cstheme="minorHAnsi"/>
          <w:sz w:val="20"/>
          <w:szCs w:val="20"/>
        </w:rPr>
        <w:t>, Professeur, Université de Limoges</w:t>
      </w:r>
    </w:p>
    <w:p w:rsidR="00F603B5" w:rsidRDefault="00F603B5" w:rsidP="0098229F">
      <w:pPr>
        <w:spacing w:after="0"/>
        <w:rPr>
          <w:rFonts w:asciiTheme="minorHAnsi" w:hAnsiTheme="minorHAnsi" w:cstheme="minorHAnsi"/>
          <w:sz w:val="20"/>
          <w:szCs w:val="20"/>
        </w:rPr>
      </w:pPr>
      <w:r w:rsidRPr="00AF4077">
        <w:rPr>
          <w:rFonts w:asciiTheme="minorHAnsi" w:hAnsiTheme="minorHAnsi" w:cstheme="minorHAnsi"/>
          <w:sz w:val="20"/>
          <w:szCs w:val="20"/>
        </w:rPr>
        <w:t xml:space="preserve">Jean-Michel Petit, </w:t>
      </w:r>
      <w:r w:rsidRPr="00AF4077">
        <w:rPr>
          <w:rFonts w:asciiTheme="minorHAnsi" w:hAnsiTheme="minorHAnsi" w:cstheme="minorHAnsi"/>
          <w:sz w:val="20"/>
          <w:szCs w:val="20"/>
        </w:rPr>
        <w:t>Professeur, Université de Limoges</w:t>
      </w:r>
    </w:p>
    <w:p w:rsidR="0098229F" w:rsidRPr="00AF4077" w:rsidRDefault="0098229F" w:rsidP="0098229F">
      <w:pPr>
        <w:spacing w:after="0"/>
        <w:rPr>
          <w:rFonts w:asciiTheme="minorHAnsi" w:hAnsiTheme="minorHAnsi" w:cstheme="minorHAnsi"/>
          <w:sz w:val="20"/>
          <w:szCs w:val="20"/>
        </w:rPr>
      </w:pPr>
    </w:p>
    <w:p w:rsidR="00F603B5" w:rsidRPr="00AF4077" w:rsidRDefault="00F603B5" w:rsidP="00F603B5">
      <w:pPr>
        <w:spacing w:line="240" w:lineRule="auto"/>
        <w:rPr>
          <w:rFonts w:asciiTheme="minorHAnsi" w:hAnsiTheme="minorHAnsi" w:cstheme="minorHAnsi"/>
          <w:sz w:val="20"/>
          <w:szCs w:val="20"/>
        </w:rPr>
      </w:pPr>
      <w:r w:rsidRPr="00AF4077">
        <w:rPr>
          <w:rFonts w:asciiTheme="minorHAnsi" w:hAnsiTheme="minorHAnsi" w:cstheme="minorHAnsi"/>
          <w:b/>
          <w:sz w:val="20"/>
          <w:szCs w:val="20"/>
          <w:u w:val="single"/>
        </w:rPr>
        <w:t>Ecole doctorale :</w:t>
      </w:r>
      <w:r w:rsidRPr="00AF4077">
        <w:rPr>
          <w:rFonts w:asciiTheme="minorHAnsi" w:hAnsiTheme="minorHAnsi" w:cstheme="minorHAnsi"/>
          <w:sz w:val="20"/>
          <w:szCs w:val="20"/>
        </w:rPr>
        <w:t xml:space="preserve"> ED n°524 Biologie, Santé, Faculté des Sciences et Techniques</w:t>
      </w:r>
      <w:r w:rsidR="0052746F" w:rsidRPr="00AF4077">
        <w:rPr>
          <w:rFonts w:asciiTheme="minorHAnsi" w:hAnsiTheme="minorHAnsi" w:cstheme="minorHAnsi"/>
          <w:sz w:val="20"/>
          <w:szCs w:val="20"/>
        </w:rPr>
        <w:t>, Limoges</w:t>
      </w:r>
    </w:p>
    <w:p w:rsidR="0052746F" w:rsidRPr="00AF4077" w:rsidRDefault="0052746F" w:rsidP="00F603B5">
      <w:pPr>
        <w:spacing w:line="240" w:lineRule="auto"/>
        <w:rPr>
          <w:rFonts w:asciiTheme="minorHAnsi" w:hAnsiTheme="minorHAnsi" w:cstheme="minorHAnsi"/>
          <w:sz w:val="20"/>
          <w:szCs w:val="20"/>
        </w:rPr>
      </w:pPr>
      <w:r w:rsidRPr="00AF4077">
        <w:rPr>
          <w:rFonts w:asciiTheme="minorHAnsi" w:hAnsiTheme="minorHAnsi" w:cstheme="minorHAnsi"/>
          <w:b/>
          <w:sz w:val="20"/>
          <w:szCs w:val="20"/>
          <w:u w:val="single"/>
        </w:rPr>
        <w:t>Spécialité :</w:t>
      </w:r>
      <w:r w:rsidRPr="00AF4077">
        <w:rPr>
          <w:rFonts w:asciiTheme="minorHAnsi" w:hAnsiTheme="minorHAnsi" w:cstheme="minorHAnsi"/>
          <w:sz w:val="20"/>
          <w:szCs w:val="20"/>
        </w:rPr>
        <w:t xml:space="preserve"> Biologie moléculaire et cellulaire</w:t>
      </w:r>
    </w:p>
    <w:p w:rsidR="0052746F" w:rsidRPr="00AF4077" w:rsidRDefault="0052746F" w:rsidP="0052746F">
      <w:pPr>
        <w:spacing w:after="0" w:line="240" w:lineRule="auto"/>
        <w:jc w:val="left"/>
        <w:rPr>
          <w:rFonts w:asciiTheme="minorHAnsi" w:hAnsiTheme="minorHAnsi" w:cstheme="minorHAnsi"/>
          <w:b/>
          <w:sz w:val="20"/>
          <w:szCs w:val="20"/>
          <w:u w:val="single"/>
        </w:rPr>
      </w:pPr>
      <w:r w:rsidRPr="00AF4077">
        <w:rPr>
          <w:rFonts w:asciiTheme="minorHAnsi" w:hAnsiTheme="minorHAnsi" w:cstheme="minorHAnsi"/>
          <w:b/>
          <w:sz w:val="20"/>
          <w:szCs w:val="20"/>
          <w:u w:val="single"/>
        </w:rPr>
        <w:t xml:space="preserve">Laboratoire d’accueil : </w:t>
      </w:r>
    </w:p>
    <w:p w:rsidR="0052746F" w:rsidRPr="00AF4077" w:rsidRDefault="0052746F" w:rsidP="0052746F">
      <w:pPr>
        <w:spacing w:after="0" w:line="240" w:lineRule="auto"/>
        <w:jc w:val="left"/>
        <w:rPr>
          <w:rFonts w:asciiTheme="minorHAnsi" w:hAnsiTheme="minorHAnsi" w:cstheme="minorHAnsi"/>
          <w:sz w:val="20"/>
          <w:szCs w:val="20"/>
        </w:rPr>
      </w:pPr>
    </w:p>
    <w:p w:rsidR="0052746F" w:rsidRPr="00AF4077" w:rsidRDefault="0052746F" w:rsidP="0052746F">
      <w:pPr>
        <w:spacing w:after="0" w:line="240" w:lineRule="auto"/>
        <w:jc w:val="left"/>
        <w:rPr>
          <w:rFonts w:asciiTheme="minorHAnsi" w:eastAsia="Times New Roman" w:hAnsiTheme="minorHAnsi" w:cs="Arial"/>
          <w:sz w:val="20"/>
          <w:szCs w:val="20"/>
          <w:lang w:eastAsia="fr-FR"/>
        </w:rPr>
      </w:pPr>
      <w:r w:rsidRPr="00AF4077">
        <w:rPr>
          <w:rFonts w:asciiTheme="minorHAnsi" w:eastAsia="Times New Roman" w:hAnsiTheme="minorHAnsi" w:cs="Arial"/>
          <w:sz w:val="20"/>
          <w:szCs w:val="20"/>
          <w:lang w:eastAsia="fr-FR"/>
        </w:rPr>
        <w:t>Unité de Génétique Moléculaire Animale</w:t>
      </w:r>
    </w:p>
    <w:p w:rsidR="0052746F" w:rsidRPr="00AF4077" w:rsidRDefault="0052746F" w:rsidP="0052746F">
      <w:pPr>
        <w:spacing w:after="0" w:line="240" w:lineRule="auto"/>
        <w:jc w:val="left"/>
        <w:rPr>
          <w:rFonts w:asciiTheme="minorHAnsi" w:eastAsia="Times New Roman" w:hAnsiTheme="minorHAnsi" w:cs="Arial"/>
          <w:sz w:val="20"/>
          <w:szCs w:val="20"/>
          <w:lang w:eastAsia="fr-FR"/>
        </w:rPr>
      </w:pPr>
      <w:r w:rsidRPr="00AF4077">
        <w:rPr>
          <w:rFonts w:asciiTheme="minorHAnsi" w:eastAsia="Times New Roman" w:hAnsiTheme="minorHAnsi" w:cs="Arial"/>
          <w:sz w:val="20"/>
          <w:szCs w:val="20"/>
          <w:lang w:eastAsia="fr-FR"/>
        </w:rPr>
        <w:t>UMR 1061 INRA/ Université de Limoges</w:t>
      </w:r>
    </w:p>
    <w:p w:rsidR="0052746F" w:rsidRPr="00AF4077" w:rsidRDefault="0052746F" w:rsidP="0052746F">
      <w:pPr>
        <w:spacing w:after="0" w:line="240" w:lineRule="auto"/>
        <w:jc w:val="left"/>
        <w:rPr>
          <w:rFonts w:asciiTheme="minorHAnsi" w:eastAsia="Times New Roman" w:hAnsiTheme="minorHAnsi" w:cs="Arial"/>
          <w:sz w:val="20"/>
          <w:szCs w:val="20"/>
          <w:lang w:eastAsia="fr-FR"/>
        </w:rPr>
      </w:pPr>
      <w:r w:rsidRPr="006A39DE">
        <w:rPr>
          <w:rFonts w:asciiTheme="minorHAnsi" w:eastAsia="Times New Roman" w:hAnsiTheme="minorHAnsi" w:cs="Arial"/>
          <w:sz w:val="20"/>
          <w:szCs w:val="20"/>
          <w:lang w:eastAsia="fr-FR"/>
        </w:rPr>
        <w:t>Facul</w:t>
      </w:r>
      <w:r w:rsidRPr="00AF4077">
        <w:rPr>
          <w:rFonts w:asciiTheme="minorHAnsi" w:eastAsia="Times New Roman" w:hAnsiTheme="minorHAnsi" w:cs="Arial"/>
          <w:sz w:val="20"/>
          <w:szCs w:val="20"/>
          <w:lang w:eastAsia="fr-FR"/>
        </w:rPr>
        <w:t>té des Sciences et Techniques</w:t>
      </w:r>
      <w:r w:rsidRPr="00AF4077">
        <w:rPr>
          <w:rFonts w:asciiTheme="minorHAnsi" w:eastAsia="Times New Roman" w:hAnsiTheme="minorHAnsi" w:cs="Arial"/>
          <w:sz w:val="20"/>
          <w:szCs w:val="20"/>
          <w:lang w:eastAsia="fr-FR"/>
        </w:rPr>
        <w:br/>
        <w:t>123 Av. Albert Thomas</w:t>
      </w:r>
      <w:r w:rsidRPr="00AF4077">
        <w:rPr>
          <w:rFonts w:asciiTheme="minorHAnsi" w:eastAsia="Times New Roman" w:hAnsiTheme="minorHAnsi" w:cs="Arial"/>
          <w:sz w:val="20"/>
          <w:szCs w:val="20"/>
          <w:lang w:eastAsia="fr-FR"/>
        </w:rPr>
        <w:br/>
      </w:r>
      <w:r w:rsidRPr="006A39DE">
        <w:rPr>
          <w:rFonts w:asciiTheme="minorHAnsi" w:eastAsia="Times New Roman" w:hAnsiTheme="minorHAnsi" w:cs="Arial"/>
          <w:sz w:val="20"/>
          <w:szCs w:val="20"/>
          <w:lang w:eastAsia="fr-FR"/>
        </w:rPr>
        <w:t>87060 Limoges Cedex</w:t>
      </w:r>
    </w:p>
    <w:p w:rsidR="0052746F" w:rsidRPr="00AF4077" w:rsidRDefault="0052746F" w:rsidP="00F603B5">
      <w:pPr>
        <w:spacing w:line="240" w:lineRule="auto"/>
        <w:rPr>
          <w:rFonts w:asciiTheme="minorHAnsi" w:hAnsiTheme="minorHAnsi"/>
          <w:sz w:val="20"/>
          <w:szCs w:val="20"/>
        </w:rPr>
      </w:pPr>
    </w:p>
    <w:p w:rsidR="0052746F" w:rsidRPr="00AF4077" w:rsidRDefault="0052746F" w:rsidP="00F603B5">
      <w:pPr>
        <w:spacing w:line="240" w:lineRule="auto"/>
        <w:rPr>
          <w:rFonts w:asciiTheme="minorHAnsi" w:hAnsiTheme="minorHAnsi"/>
          <w:sz w:val="20"/>
          <w:szCs w:val="20"/>
        </w:rPr>
      </w:pPr>
      <w:r w:rsidRPr="00AF4077">
        <w:rPr>
          <w:rFonts w:asciiTheme="minorHAnsi" w:hAnsiTheme="minorHAnsi"/>
          <w:b/>
          <w:sz w:val="20"/>
          <w:szCs w:val="20"/>
          <w:u w:val="single"/>
        </w:rPr>
        <w:t>Mots-clés :</w:t>
      </w:r>
      <w:r w:rsidRPr="00AF4077">
        <w:rPr>
          <w:rFonts w:asciiTheme="minorHAnsi" w:hAnsiTheme="minorHAnsi"/>
          <w:sz w:val="20"/>
          <w:szCs w:val="20"/>
        </w:rPr>
        <w:t xml:space="preserve"> </w:t>
      </w:r>
      <w:r w:rsidRPr="00AF4077">
        <w:rPr>
          <w:rFonts w:asciiTheme="minorHAnsi" w:hAnsiTheme="minorHAnsi"/>
          <w:sz w:val="20"/>
          <w:szCs w:val="20"/>
        </w:rPr>
        <w:t xml:space="preserve">Myogenèse, différenciation myogénique, fusion </w:t>
      </w:r>
      <w:proofErr w:type="spellStart"/>
      <w:r w:rsidRPr="00AF4077">
        <w:rPr>
          <w:rFonts w:asciiTheme="minorHAnsi" w:hAnsiTheme="minorHAnsi"/>
          <w:sz w:val="20"/>
          <w:szCs w:val="20"/>
        </w:rPr>
        <w:t>myoblastique</w:t>
      </w:r>
      <w:proofErr w:type="spellEnd"/>
      <w:r w:rsidRPr="00AF4077">
        <w:rPr>
          <w:rFonts w:asciiTheme="minorHAnsi" w:hAnsiTheme="minorHAnsi"/>
          <w:sz w:val="20"/>
          <w:szCs w:val="20"/>
        </w:rPr>
        <w:t xml:space="preserve">, voie de signalisation de </w:t>
      </w:r>
      <w:proofErr w:type="spellStart"/>
      <w:r w:rsidRPr="00AF4077">
        <w:rPr>
          <w:rFonts w:asciiTheme="minorHAnsi" w:hAnsiTheme="minorHAnsi"/>
          <w:sz w:val="20"/>
          <w:szCs w:val="20"/>
        </w:rPr>
        <w:t>Notch</w:t>
      </w:r>
      <w:proofErr w:type="spellEnd"/>
      <w:r w:rsidRPr="00AF4077">
        <w:rPr>
          <w:rFonts w:asciiTheme="minorHAnsi" w:hAnsiTheme="minorHAnsi"/>
          <w:sz w:val="20"/>
          <w:szCs w:val="20"/>
        </w:rPr>
        <w:t>, Pofut1,</w:t>
      </w:r>
      <w:r w:rsidRPr="00AF4077">
        <w:rPr>
          <w:rFonts w:asciiTheme="minorHAnsi" w:hAnsiTheme="minorHAnsi"/>
          <w:i/>
          <w:sz w:val="20"/>
          <w:szCs w:val="20"/>
        </w:rPr>
        <w:t xml:space="preserve"> O</w:t>
      </w:r>
      <w:r w:rsidRPr="00AF4077">
        <w:rPr>
          <w:rFonts w:asciiTheme="minorHAnsi" w:hAnsiTheme="minorHAnsi"/>
          <w:sz w:val="20"/>
          <w:szCs w:val="20"/>
        </w:rPr>
        <w:t>-</w:t>
      </w:r>
      <w:proofErr w:type="spellStart"/>
      <w:r w:rsidRPr="00AF4077">
        <w:rPr>
          <w:rFonts w:asciiTheme="minorHAnsi" w:hAnsiTheme="minorHAnsi"/>
          <w:sz w:val="20"/>
          <w:szCs w:val="20"/>
        </w:rPr>
        <w:t>fucosylation</w:t>
      </w:r>
      <w:proofErr w:type="spellEnd"/>
      <w:r w:rsidRPr="00AF4077">
        <w:rPr>
          <w:rFonts w:asciiTheme="minorHAnsi" w:hAnsiTheme="minorHAnsi"/>
          <w:sz w:val="20"/>
          <w:szCs w:val="20"/>
        </w:rPr>
        <w:t xml:space="preserve">, C2C12, cellules de réserve, </w:t>
      </w:r>
      <w:proofErr w:type="spellStart"/>
      <w:r w:rsidRPr="00AF4077">
        <w:rPr>
          <w:rFonts w:asciiTheme="minorHAnsi" w:hAnsiTheme="minorHAnsi"/>
          <w:sz w:val="20"/>
          <w:szCs w:val="20"/>
        </w:rPr>
        <w:t>myotube</w:t>
      </w:r>
      <w:proofErr w:type="spellEnd"/>
      <w:r w:rsidR="00AF4077" w:rsidRPr="00AF4077">
        <w:rPr>
          <w:rFonts w:asciiTheme="minorHAnsi" w:hAnsiTheme="minorHAnsi"/>
          <w:sz w:val="20"/>
          <w:szCs w:val="20"/>
        </w:rPr>
        <w:t>.</w:t>
      </w:r>
    </w:p>
    <w:p w:rsidR="00AF4077" w:rsidRPr="00AF4077" w:rsidRDefault="00AF4077" w:rsidP="00F603B5">
      <w:pPr>
        <w:spacing w:line="240" w:lineRule="auto"/>
        <w:rPr>
          <w:rFonts w:asciiTheme="minorHAnsi" w:hAnsiTheme="minorHAnsi"/>
          <w:b/>
          <w:sz w:val="20"/>
          <w:szCs w:val="20"/>
          <w:u w:val="single"/>
        </w:rPr>
      </w:pPr>
      <w:r w:rsidRPr="00AF4077">
        <w:rPr>
          <w:rFonts w:asciiTheme="minorHAnsi" w:hAnsiTheme="minorHAnsi"/>
          <w:b/>
          <w:sz w:val="20"/>
          <w:szCs w:val="20"/>
          <w:u w:val="single"/>
        </w:rPr>
        <w:t>Directeurs de thèse :</w:t>
      </w:r>
    </w:p>
    <w:p w:rsidR="00AF4077" w:rsidRPr="00AF4077" w:rsidRDefault="00AF4077" w:rsidP="00F603B5">
      <w:pPr>
        <w:spacing w:line="240" w:lineRule="auto"/>
        <w:rPr>
          <w:rFonts w:asciiTheme="minorHAnsi" w:hAnsiTheme="minorHAnsi"/>
          <w:sz w:val="20"/>
          <w:szCs w:val="20"/>
        </w:rPr>
      </w:pPr>
      <w:proofErr w:type="spellStart"/>
      <w:r w:rsidRPr="00AF4077">
        <w:rPr>
          <w:rFonts w:asciiTheme="minorHAnsi" w:hAnsiTheme="minorHAnsi" w:cstheme="minorHAnsi"/>
          <w:sz w:val="20"/>
          <w:szCs w:val="20"/>
        </w:rPr>
        <w:t>Abderrahman</w:t>
      </w:r>
      <w:proofErr w:type="spellEnd"/>
      <w:r w:rsidRPr="00AF4077">
        <w:rPr>
          <w:rFonts w:asciiTheme="minorHAnsi" w:hAnsiTheme="minorHAnsi" w:cstheme="minorHAnsi"/>
          <w:sz w:val="20"/>
          <w:szCs w:val="20"/>
        </w:rPr>
        <w:t xml:space="preserve"> </w:t>
      </w:r>
      <w:proofErr w:type="spellStart"/>
      <w:r w:rsidRPr="00AF4077">
        <w:rPr>
          <w:rFonts w:asciiTheme="minorHAnsi" w:hAnsiTheme="minorHAnsi" w:cstheme="minorHAnsi"/>
          <w:sz w:val="20"/>
          <w:szCs w:val="20"/>
        </w:rPr>
        <w:t>Maftah</w:t>
      </w:r>
      <w:proofErr w:type="spellEnd"/>
      <w:r w:rsidRPr="00AF4077">
        <w:rPr>
          <w:rFonts w:asciiTheme="minorHAnsi" w:hAnsiTheme="minorHAnsi" w:cstheme="minorHAnsi"/>
          <w:sz w:val="20"/>
          <w:szCs w:val="20"/>
        </w:rPr>
        <w:t xml:space="preserve"> et Agnès </w:t>
      </w:r>
      <w:proofErr w:type="spellStart"/>
      <w:r w:rsidRPr="00AF4077">
        <w:rPr>
          <w:rFonts w:asciiTheme="minorHAnsi" w:hAnsiTheme="minorHAnsi" w:cstheme="minorHAnsi"/>
          <w:sz w:val="20"/>
          <w:szCs w:val="20"/>
        </w:rPr>
        <w:t>Germot</w:t>
      </w:r>
      <w:proofErr w:type="spellEnd"/>
      <w:r w:rsidRPr="00AF4077">
        <w:rPr>
          <w:rFonts w:asciiTheme="minorHAnsi" w:hAnsiTheme="minorHAnsi" w:cstheme="minorHAnsi"/>
          <w:sz w:val="20"/>
          <w:szCs w:val="20"/>
        </w:rPr>
        <w:t>.</w:t>
      </w:r>
    </w:p>
    <w:sectPr w:rsidR="00AF4077" w:rsidRPr="00AF40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DE"/>
    <w:rsid w:val="0052746F"/>
    <w:rsid w:val="006A39DE"/>
    <w:rsid w:val="0098229F"/>
    <w:rsid w:val="00AF4077"/>
    <w:rsid w:val="00C915C6"/>
    <w:rsid w:val="00F603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9906D-99A9-4384-A105-C85D1C00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9DE"/>
    <w:pPr>
      <w:spacing w:after="200" w:line="276" w:lineRule="auto"/>
      <w:jc w:val="both"/>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783652">
      <w:bodyDiv w:val="1"/>
      <w:marLeft w:val="0"/>
      <w:marRight w:val="0"/>
      <w:marTop w:val="0"/>
      <w:marBottom w:val="0"/>
      <w:divBdr>
        <w:top w:val="none" w:sz="0" w:space="0" w:color="auto"/>
        <w:left w:val="none" w:sz="0" w:space="0" w:color="auto"/>
        <w:bottom w:val="none" w:sz="0" w:space="0" w:color="auto"/>
        <w:right w:val="none" w:sz="0" w:space="0" w:color="auto"/>
      </w:divBdr>
      <w:divsChild>
        <w:div w:id="1939562659">
          <w:blockQuote w:val="1"/>
          <w:marLeft w:val="600"/>
          <w:marRight w:val="600"/>
          <w:marTop w:val="319"/>
          <w:marBottom w:val="319"/>
          <w:divBdr>
            <w:top w:val="none" w:sz="0" w:space="0" w:color="auto"/>
            <w:left w:val="none" w:sz="0" w:space="0" w:color="auto"/>
            <w:bottom w:val="none" w:sz="0" w:space="0" w:color="auto"/>
            <w:right w:val="none" w:sz="0" w:space="0" w:color="auto"/>
          </w:divBdr>
          <w:divsChild>
            <w:div w:id="1091509440">
              <w:blockQuote w:val="1"/>
              <w:marLeft w:val="75"/>
              <w:marRight w:val="600"/>
              <w:marTop w:val="319"/>
              <w:marBottom w:val="319"/>
              <w:divBdr>
                <w:top w:val="none" w:sz="0" w:space="0" w:color="auto"/>
                <w:left w:val="single" w:sz="12" w:space="4" w:color="FF0000"/>
                <w:bottom w:val="none" w:sz="0" w:space="0" w:color="auto"/>
                <w:right w:val="none" w:sz="0" w:space="0" w:color="auto"/>
              </w:divBdr>
              <w:divsChild>
                <w:div w:id="18160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586</Words>
  <Characters>3226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Zorah</dc:creator>
  <cp:keywords/>
  <dc:description/>
  <cp:lastModifiedBy>Zorah</cp:lastModifiedBy>
  <cp:revision>1</cp:revision>
  <dcterms:created xsi:type="dcterms:W3CDTF">2016-01-13T13:58:00Z</dcterms:created>
  <dcterms:modified xsi:type="dcterms:W3CDTF">2016-01-13T15:09:00Z</dcterms:modified>
</cp:coreProperties>
</file>